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7448550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People and Performance Manager</w:t>
      </w:r>
    </w:p>
    <w:p w:rsidR="00000000" w:rsidDel="00000000" w:rsidP="00000000" w:rsidRDefault="00000000" w:rsidRPr="00000000" w14:paraId="0000000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590"/>
        <w:gridCol w:w="4095"/>
        <w:gridCol w:w="3780"/>
        <w:tblGridChange w:id="0">
          <w:tblGrid>
            <w:gridCol w:w="2115"/>
            <w:gridCol w:w="4590"/>
            <w:gridCol w:w="4095"/>
            <w:gridCol w:w="378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43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 GCSEs with a minimum grade C or above in English and Mathematics, or equivalent qualifications.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43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HR-related qualification (minimum CIPD level 5, or equivalent (or working towards this or willing to undertake the qualification in first year of employment)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43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Willingness to undertake and maintain Safer Recruitment Training as part of wider safeguarding responsibilities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43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continued professional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Significant HR management experience.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managing recruitment, performance management, and employee relations issues.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managing HR databases/systems.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delivering training, presentations and reports to a professional audience.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in organisational design and change management.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managing complex employee relations cases including capability, grievance and disciplinary processes.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in recruitment strategy development and employer banding.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Application form, interview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Comprehensive knowledge of current employment law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handle confidential information discreetly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Knowledge of safeguarding guidance and requirements, especially in relation to recruitment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IT skills, including use of HR/administrative systems and Microsoft Office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write, interpret and apply HR and employment policies and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Knowledge of HR best practice in an educational setting.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knowledge of safeguarding and safer recruitment processes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payroll, pensions and reward strategies.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196.5354330708662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Application form, references and selection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0"/>
              </w:numPr>
              <w:spacing w:line="240" w:lineRule="auto"/>
              <w:ind w:left="479.7637795275591" w:hanging="285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Excellent interpersonal, written, and verbal communication skills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 showing empathy in a busy and diverse working</w:t>
            </w:r>
            <w:r w:rsidDel="00000000" w:rsidR="00000000" w:rsidRPr="00000000">
              <w:rPr>
                <w:rtl w:val="0"/>
              </w:rPr>
              <w:t xml:space="preserve"> environment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and beliefs you believe are wrong.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numeracy and analytical skills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Competency in accurate data entry and analysis with attention to detail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manage and prioritise a busy workload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interpret data and make data informed decisions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7637795275591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translate employment law and HR best practice into appropriate organisational actions and processes.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9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anticipate future workforce needs and develop proactive HR strategies.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9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build strong stakeholder relationships, including with unions and external partners.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9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Capacity to champion cultural change and drive inclusion and wellbeing initiatives.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Application form, references and selection processes.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425.19685039370046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Application form, interview &amp; References 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