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7753350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Person Specification: Main scale teacher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teach A-level French or German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teach another language to GCSE.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Good understanding of SEN and strategies to ensure needs are met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MFO3OErYqhWCvpELX6L4gXj1Q==">CgMxLjA4AHIhMUxYQnRGWlpLUnZFbjc4VldITzd2SWJVNkZXN2xfcHZU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2024-05-03T10:00:00Z</dcterms:created>
  <dc:creator>Daniel Crosland</dc:creator>
</cp:coreProperties>
</file>