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Head of Year (non-teaching)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-40.866141732282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6">
      <w:pPr>
        <w:pageBreakBefore w:val="0"/>
        <w:ind w:left="0" w:right="8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monitor practice, apply accountability and contribute to team thinking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self-reflection to continually develop their leadership qualities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others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data to question performance and set challenging targets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students as individuals.</w:t>
      </w:r>
    </w:p>
    <w:p w:rsidR="00000000" w:rsidDel="00000000" w:rsidP="00000000" w:rsidRDefault="00000000" w:rsidRPr="00000000" w14:paraId="0000000D">
      <w:pPr>
        <w:pageBreakBefore w:val="0"/>
        <w:ind w:left="0" w:right="-40.866141732282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ind w:right="8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F">
      <w:pPr>
        <w:pageBreakBefore w:val="0"/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125"/>
        <w:gridCol w:w="1140"/>
        <w:tblGridChange w:id="0">
          <w:tblGrid>
            <w:gridCol w:w="7800"/>
            <w:gridCol w:w="1125"/>
            <w:gridCol w:w="11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393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16 Higher Education, Teaching Assistant or Degree level qualification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least 5 x GCSE (A*-C), or equivalent, including Maths and 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 certificate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of Learning and School Leadership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with or caring for children of secondary school age in an educational setting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working with young people with behavioural/emotional/social difficulties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working closely with parents in successful home-school partnerships that support students’ needs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working with other agencies and specialist support staff.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 and promotes the principles of equality and diversity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Knowledge of issues relating to equal opportunities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Knowledge of current educational issues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 and promote the principles of safeguarding children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ind w:left="6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Professional development in the area of SEND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Skills and Abilities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ICT, and basic office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communication skills with both adults and young people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offer supportive and constructive challenge in a sensitive, empathic manner to colleagues, parents and students to champion the needs of vulnerable children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Stamina and emotional resilience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Confident and able to self motivate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work flexibly as a team member, or individually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Willingness to participate in training and personal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Willingness to play an active part in school life.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ind w:left="540" w:right="8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line="240" w:lineRule="auto"/>
      <w:jc w:val="center"/>
      <w:rPr/>
    </w:pPr>
    <w:r w:rsidDel="00000000" w:rsidR="00000000" w:rsidRPr="00000000">
      <w:rPr>
        <w:sz w:val="28"/>
        <w:szCs w:val="28"/>
      </w:rPr>
      <w:drawing>
        <wp:inline distB="114300" distT="114300" distL="114300" distR="114300">
          <wp:extent cx="2271713" cy="65283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1713" cy="6528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