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3478"/>
        <w:gridCol w:w="360"/>
        <w:gridCol w:w="1624"/>
        <w:gridCol w:w="3649"/>
      </w:tblGrid>
      <w:tr w:rsidR="005819EE" w:rsidRPr="00877226" w14:paraId="1A6510F8" w14:textId="77777777" w:rsidTr="00CA7F8D">
        <w:tc>
          <w:tcPr>
            <w:tcW w:w="10680" w:type="dxa"/>
            <w:gridSpan w:val="5"/>
            <w:tcBorders>
              <w:top w:val="nil"/>
              <w:left w:val="nil"/>
              <w:bottom w:val="single" w:sz="24" w:space="0" w:color="7030A0"/>
              <w:right w:val="nil"/>
            </w:tcBorders>
          </w:tcPr>
          <w:p w14:paraId="1F05C34B" w14:textId="77777777" w:rsidR="005819EE" w:rsidRPr="00877226" w:rsidRDefault="005819EE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J o b  D e s c r I p t I o n</w:t>
            </w:r>
          </w:p>
          <w:p w14:paraId="3B21CA92" w14:textId="77777777" w:rsidR="005819EE" w:rsidRPr="00877226" w:rsidRDefault="005819EE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</w:tr>
      <w:tr w:rsidR="005819EE" w:rsidRPr="00877226" w14:paraId="12E89418" w14:textId="77777777" w:rsidTr="00BA277B">
        <w:tc>
          <w:tcPr>
            <w:tcW w:w="1569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8A9F9" w14:textId="77777777" w:rsidR="005819EE" w:rsidRPr="00877226" w:rsidRDefault="005819EE" w:rsidP="00CA7F8D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Job Title:</w:t>
            </w:r>
          </w:p>
        </w:tc>
        <w:tc>
          <w:tcPr>
            <w:tcW w:w="3478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3C3C2" w14:textId="570609EB" w:rsidR="005819EE" w:rsidRPr="00D242A8" w:rsidRDefault="008977C7" w:rsidP="00CA7F8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242A8">
              <w:rPr>
                <w:rFonts w:ascii="Arial" w:eastAsia="Arial" w:hAnsi="Arial" w:cs="Arial"/>
                <w:sz w:val="24"/>
                <w:szCs w:val="24"/>
              </w:rPr>
              <w:t>Head of Humanities</w:t>
            </w:r>
          </w:p>
        </w:tc>
        <w:tc>
          <w:tcPr>
            <w:tcW w:w="360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9A5B8" w14:textId="77777777" w:rsidR="005819EE" w:rsidRPr="00D242A8" w:rsidRDefault="005819EE" w:rsidP="00CA7F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75F2E" w14:textId="77777777" w:rsidR="005819EE" w:rsidRPr="00D242A8" w:rsidRDefault="005819EE" w:rsidP="00CA7F8D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D242A8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Reporting to</w:t>
            </w:r>
          </w:p>
        </w:tc>
        <w:tc>
          <w:tcPr>
            <w:tcW w:w="3649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B51A9" w14:textId="36466415" w:rsidR="005819EE" w:rsidRPr="00D242A8" w:rsidRDefault="008977C7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42A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Principal, </w:t>
            </w:r>
            <w:r w:rsidR="000242E6" w:rsidRPr="00D242A8">
              <w:rPr>
                <w:rFonts w:ascii="Arial" w:eastAsia="Arial" w:hAnsi="Arial" w:cs="Arial"/>
                <w:color w:val="000000"/>
                <w:sz w:val="24"/>
                <w:szCs w:val="24"/>
              </w:rPr>
              <w:t>SLT Link</w:t>
            </w:r>
          </w:p>
        </w:tc>
      </w:tr>
      <w:tr w:rsidR="005819EE" w:rsidRPr="00877226" w14:paraId="09AD9BA5" w14:textId="77777777" w:rsidTr="00BA277B">
        <w:trPr>
          <w:trHeight w:val="56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860C12" w14:textId="4C46B1C8" w:rsidR="005819EE" w:rsidRPr="00877226" w:rsidRDefault="005819EE" w:rsidP="00CA7F8D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8A06F3" w14:textId="6B8AC043" w:rsidR="005819EE" w:rsidRPr="00877226" w:rsidRDefault="005819EE" w:rsidP="00CA7F8D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396E38" w14:textId="77777777" w:rsidR="005819EE" w:rsidRPr="00877226" w:rsidRDefault="005819EE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14C" w14:textId="77777777" w:rsidR="005819EE" w:rsidRPr="00877226" w:rsidRDefault="005819EE" w:rsidP="00CA7F8D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Grade and Range: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CA1C" w14:textId="3F8EF38E" w:rsidR="005819EE" w:rsidRPr="00877226" w:rsidRDefault="008977C7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L3 – L7</w:t>
            </w:r>
          </w:p>
        </w:tc>
      </w:tr>
      <w:tr w:rsidR="000242E6" w:rsidRPr="00877226" w14:paraId="7CCBDC63" w14:textId="77777777" w:rsidTr="00BA277B">
        <w:trPr>
          <w:trHeight w:val="56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8AD100" w14:textId="61A3B364" w:rsidR="000242E6" w:rsidRPr="000242E6" w:rsidRDefault="000242E6" w:rsidP="00CA7F8D">
            <w:pPr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r w:rsidRPr="000242E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Subjects within the faculty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80C81C" w14:textId="04773CCB" w:rsidR="000242E6" w:rsidRPr="00877226" w:rsidRDefault="000242E6" w:rsidP="00CA7F8D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  <w:r w:rsidRPr="000242E6">
              <w:rPr>
                <w:rFonts w:ascii="Arial" w:eastAsia="Arial" w:hAnsi="Arial" w:cs="Arial"/>
                <w:color w:val="000000"/>
                <w:sz w:val="24"/>
                <w:szCs w:val="24"/>
              </w:rPr>
              <w:t>History, Geography, Religious Studies, Business Studies, Nosce Te Ipsum (PSHE) and Latin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89D594" w14:textId="77777777" w:rsidR="000242E6" w:rsidRPr="00877226" w:rsidRDefault="000242E6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6EE6" w14:textId="6F2E4BF2" w:rsidR="000242E6" w:rsidRPr="00877226" w:rsidRDefault="000242E6" w:rsidP="00CA7F8D">
            <w:pPr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Liaising with: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491D" w14:textId="1E988693" w:rsidR="000242E6" w:rsidRDefault="000242E6" w:rsidP="00D24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Senior Leadership Team, Heads of faculty, Assistant Head</w:t>
            </w:r>
            <w:r w:rsidR="00D242A8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of faculty, Heads of KS </w:t>
            </w:r>
            <w:r w:rsidR="00D242A8">
              <w:rPr>
                <w:rFonts w:ascii="Arial" w:eastAsia="Arial" w:hAnsi="Arial" w:cs="Arial"/>
                <w:color w:val="00000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Assistant Pastoral Leaders, Junior Heads of Phase and </w:t>
            </w:r>
            <w:r w:rsidR="00D242A8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ubject </w:t>
            </w:r>
            <w:r w:rsidR="00D242A8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eads, SEND Manager, ITE providers, Teaching School Hub, Polam Hall Academy Council, Woodard Academies Trust</w:t>
            </w:r>
            <w:r w:rsidR="00D242A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Parents.</w:t>
            </w:r>
          </w:p>
        </w:tc>
      </w:tr>
      <w:tr w:rsidR="005819EE" w:rsidRPr="00877226" w14:paraId="4D57BE7E" w14:textId="77777777" w:rsidTr="00BA277B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CC00" w14:textId="485D541E" w:rsidR="005819EE" w:rsidRPr="00877226" w:rsidRDefault="005819EE" w:rsidP="00BA277B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 xml:space="preserve">Resources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0BA4" w14:textId="186B2EA0" w:rsidR="005819EE" w:rsidRPr="00877226" w:rsidRDefault="00D242A8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Manage financial and physical resources for faculty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68525" w14:textId="77777777" w:rsidR="005819EE" w:rsidRPr="00877226" w:rsidRDefault="005819EE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ABF1" w14:textId="77777777" w:rsidR="005819EE" w:rsidRPr="00877226" w:rsidRDefault="005819EE" w:rsidP="00CA7F8D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Supervises: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BAC" w14:textId="66C0F4ED" w:rsidR="005819EE" w:rsidRPr="00877226" w:rsidRDefault="008977C7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8977C7">
              <w:rPr>
                <w:rFonts w:ascii="Arial" w:eastAsia="Arial" w:hAnsi="Arial" w:cs="Arial"/>
                <w:color w:val="000000"/>
                <w:sz w:val="24"/>
                <w:szCs w:val="24"/>
              </w:rPr>
              <w:t>Assistant Head of Faculty, all teachers within the faculty</w:t>
            </w:r>
          </w:p>
        </w:tc>
      </w:tr>
      <w:tr w:rsidR="005819EE" w:rsidRPr="00877226" w14:paraId="0D58F468" w14:textId="77777777" w:rsidTr="00BA277B"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33CF1A" w14:textId="77777777" w:rsidR="005819EE" w:rsidRPr="00877226" w:rsidRDefault="005819EE" w:rsidP="00CA7F8D">
            <w:pP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CDE6D" w14:textId="77777777" w:rsidR="005819EE" w:rsidRPr="00877226" w:rsidRDefault="005819EE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0DEE76" w14:textId="77777777" w:rsidR="005819EE" w:rsidRPr="00877226" w:rsidRDefault="005819EE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82103E" w14:textId="77777777" w:rsidR="005819EE" w:rsidRPr="00877226" w:rsidRDefault="005819EE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B5D92A" w14:textId="77777777" w:rsidR="005819EE" w:rsidRPr="00877226" w:rsidRDefault="005819EE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19EE" w:rsidRPr="00877226" w14:paraId="02789C12" w14:textId="77777777" w:rsidTr="00BA277B">
        <w:trPr>
          <w:trHeight w:val="640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EC96" w14:textId="77777777" w:rsidR="005819EE" w:rsidRPr="00877226" w:rsidRDefault="005819EE" w:rsidP="00CA7F8D">
            <w:pP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Purpose and context</w:t>
            </w:r>
            <w:r w:rsidRPr="00877226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:</w:t>
            </w:r>
          </w:p>
        </w:tc>
        <w:tc>
          <w:tcPr>
            <w:tcW w:w="9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D0F9" w14:textId="77777777" w:rsidR="005819EE" w:rsidRPr="00BA230F" w:rsidRDefault="000B0FB6" w:rsidP="000A20EF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A230F">
              <w:rPr>
                <w:rFonts w:ascii="Arial" w:eastAsia="Arial" w:hAnsi="Arial" w:cs="Arial"/>
                <w:sz w:val="24"/>
                <w:szCs w:val="24"/>
              </w:rPr>
              <w:t>To provide strategic and operational leadership for the faculty in line with the ethos and aims of Polam Hall School</w:t>
            </w:r>
            <w:r w:rsidR="000A20EF" w:rsidRPr="00BA230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F367504" w14:textId="2FFDBB57" w:rsidR="000A20EF" w:rsidRPr="00BA230F" w:rsidRDefault="000A20EF" w:rsidP="000A20EF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A230F">
              <w:rPr>
                <w:rFonts w:ascii="Arial" w:eastAsia="Arial" w:hAnsi="Arial" w:cs="Arial"/>
                <w:sz w:val="24"/>
                <w:szCs w:val="24"/>
              </w:rPr>
              <w:t xml:space="preserve">To ensure the provision of an </w:t>
            </w:r>
            <w:r w:rsidR="00F855AB" w:rsidRPr="00BA230F">
              <w:rPr>
                <w:rFonts w:ascii="Arial" w:eastAsia="Arial" w:hAnsi="Arial" w:cs="Arial"/>
                <w:sz w:val="24"/>
                <w:szCs w:val="24"/>
              </w:rPr>
              <w:t>appropriately broad, bala</w:t>
            </w:r>
            <w:r w:rsidRPr="00BA230F">
              <w:rPr>
                <w:rFonts w:ascii="Arial" w:eastAsia="Arial" w:hAnsi="Arial" w:cs="Arial"/>
                <w:sz w:val="24"/>
                <w:szCs w:val="24"/>
              </w:rPr>
              <w:t>nced, relevant and differentiated curriculum.</w:t>
            </w:r>
          </w:p>
          <w:p w14:paraId="6ACE504D" w14:textId="77777777" w:rsidR="000A20EF" w:rsidRPr="00BA230F" w:rsidRDefault="000A20EF" w:rsidP="000A20EF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A230F">
              <w:rPr>
                <w:rFonts w:ascii="Arial" w:eastAsia="Arial" w:hAnsi="Arial" w:cs="Arial"/>
                <w:sz w:val="24"/>
                <w:szCs w:val="24"/>
              </w:rPr>
              <w:t>To be accountable for student progress and outcomes throughout the faculty.</w:t>
            </w:r>
          </w:p>
          <w:p w14:paraId="6F0EDB69" w14:textId="77777777" w:rsidR="000A20EF" w:rsidRPr="00BA230F" w:rsidRDefault="000A20EF" w:rsidP="000A20EF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A230F">
              <w:rPr>
                <w:rFonts w:ascii="Arial" w:eastAsia="Arial" w:hAnsi="Arial" w:cs="Arial"/>
                <w:sz w:val="24"/>
                <w:szCs w:val="24"/>
              </w:rPr>
              <w:t>To raise standards of student progress and achievement throughout the faculty, including through extra-curricular provision.</w:t>
            </w:r>
          </w:p>
          <w:p w14:paraId="26836B59" w14:textId="77777777" w:rsidR="000A20EF" w:rsidRPr="00BA230F" w:rsidRDefault="000A20EF" w:rsidP="000A20EF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A230F">
              <w:rPr>
                <w:rFonts w:ascii="Arial" w:eastAsia="Arial" w:hAnsi="Arial" w:cs="Arial"/>
                <w:sz w:val="24"/>
                <w:szCs w:val="24"/>
              </w:rPr>
              <w:t>To be responsible and accountable for the performance of staff within the faculty.</w:t>
            </w:r>
          </w:p>
          <w:p w14:paraId="3DFFE291" w14:textId="77777777" w:rsidR="000A20EF" w:rsidRPr="00BA230F" w:rsidRDefault="000A20EF" w:rsidP="000A20EF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A230F">
              <w:rPr>
                <w:rFonts w:ascii="Arial" w:eastAsia="Arial" w:hAnsi="Arial" w:cs="Arial"/>
                <w:sz w:val="24"/>
                <w:szCs w:val="24"/>
              </w:rPr>
              <w:t>To effectively manage and deploy teaching staff, financial and physical resources to secure the best outcomes for learners.</w:t>
            </w:r>
          </w:p>
          <w:p w14:paraId="7040D6AD" w14:textId="09B99F73" w:rsidR="000A20EF" w:rsidRPr="00215D99" w:rsidRDefault="000A20EF" w:rsidP="000A20EF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eastAsia="Arial"/>
                <w:sz w:val="24"/>
                <w:szCs w:val="24"/>
              </w:rPr>
            </w:pPr>
            <w:r w:rsidRPr="00BA230F">
              <w:rPr>
                <w:rFonts w:ascii="Arial" w:eastAsia="Arial" w:hAnsi="Arial" w:cs="Arial"/>
                <w:sz w:val="24"/>
                <w:szCs w:val="24"/>
              </w:rPr>
              <w:t>To lead the provision for ITE and ECTs across the secondary phase of the school.</w:t>
            </w:r>
          </w:p>
        </w:tc>
      </w:tr>
      <w:tr w:rsidR="005819EE" w:rsidRPr="00877226" w14:paraId="158E98D3" w14:textId="77777777" w:rsidTr="00D55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bottom w:val="single" w:sz="4" w:space="0" w:color="000000"/>
            </w:tcBorders>
          </w:tcPr>
          <w:p w14:paraId="6807FD55" w14:textId="77777777" w:rsidR="005819EE" w:rsidRPr="00877226" w:rsidRDefault="005819EE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</w:tr>
      <w:tr w:rsidR="002060F6" w:rsidRPr="002060F6" w14:paraId="57769D36" w14:textId="77777777" w:rsidTr="00D55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A899332" w14:textId="220C74BF" w:rsidR="005819EE" w:rsidRPr="002060F6" w:rsidRDefault="005819EE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b/>
                <w:sz w:val="24"/>
                <w:szCs w:val="24"/>
              </w:rPr>
              <w:t>Main duties:</w:t>
            </w:r>
          </w:p>
          <w:p w14:paraId="52E792BC" w14:textId="6ACA1C47" w:rsidR="00116735" w:rsidRPr="002060F6" w:rsidRDefault="00116735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6ABC4C1" w14:textId="118086A6" w:rsidR="00116735" w:rsidRPr="002060F6" w:rsidRDefault="00116735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b/>
                <w:sz w:val="24"/>
                <w:szCs w:val="24"/>
              </w:rPr>
              <w:t xml:space="preserve">Strategic and Operational Leadership </w:t>
            </w:r>
          </w:p>
          <w:p w14:paraId="0ABA3EF0" w14:textId="6953D957" w:rsidR="00F855AB" w:rsidRPr="002060F6" w:rsidRDefault="00F855AB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0C5BC7D" w14:textId="1991EE73" w:rsidR="00F855AB" w:rsidRPr="002060F6" w:rsidRDefault="00F855AB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develop a faculty ethos which enables collaboration, the sharing of good practice, celebrates success and accepts responsibility for outcomes.</w:t>
            </w:r>
          </w:p>
          <w:p w14:paraId="1F2AFA16" w14:textId="4137747B" w:rsidR="00F855AB" w:rsidRPr="002060F6" w:rsidRDefault="00F855AB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review the effectiveness of the faculty in the light of national and international data and provide the lead for implementing intervention strategies which improve teaching and learning and student progress.</w:t>
            </w:r>
          </w:p>
          <w:p w14:paraId="077C7C43" w14:textId="2850AA6F" w:rsidR="00F855AB" w:rsidRPr="002060F6" w:rsidRDefault="00F855AB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In collaboration with faculty staff, to formulate implement and monitor a Faculty Improvement Plan in line with the objectives of the School Improvement Plan.</w:t>
            </w:r>
          </w:p>
          <w:p w14:paraId="39A73F83" w14:textId="4D2514A7" w:rsidR="00F855AB" w:rsidRPr="002060F6" w:rsidRDefault="00F855AB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lastRenderedPageBreak/>
              <w:t>To evaluate the work of the faculty and ensure that an annual evaluation highlights key successes and actions for improvement.</w:t>
            </w:r>
          </w:p>
          <w:p w14:paraId="22961EBD" w14:textId="0AE02848" w:rsidR="00F855AB" w:rsidRPr="002060F6" w:rsidRDefault="00F855AB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prepare the faculty for e</w:t>
            </w:r>
            <w:r w:rsidR="003C7E27" w:rsidRPr="002060F6">
              <w:rPr>
                <w:rFonts w:ascii="Arial" w:eastAsia="Arial" w:hAnsi="Arial" w:cs="Arial"/>
                <w:sz w:val="24"/>
                <w:szCs w:val="24"/>
              </w:rPr>
              <w:t>x</w:t>
            </w:r>
            <w:r w:rsidRPr="002060F6">
              <w:rPr>
                <w:rFonts w:ascii="Arial" w:eastAsia="Arial" w:hAnsi="Arial" w:cs="Arial"/>
                <w:sz w:val="24"/>
                <w:szCs w:val="24"/>
              </w:rPr>
              <w:t>ternal inspection and review.</w:t>
            </w:r>
          </w:p>
          <w:p w14:paraId="3FE7BF55" w14:textId="13B97E9B" w:rsidR="00F855AB" w:rsidRPr="002060F6" w:rsidRDefault="00F855AB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 xml:space="preserve">To ensure that curriculum planning </w:t>
            </w:r>
            <w:r w:rsidR="003C7E27" w:rsidRPr="002060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060F6">
              <w:rPr>
                <w:rFonts w:ascii="Arial" w:eastAsia="Arial" w:hAnsi="Arial" w:cs="Arial"/>
                <w:sz w:val="24"/>
                <w:szCs w:val="24"/>
              </w:rPr>
              <w:t>nd resources are in place for each subject and key stage taking into account the needs of all learners, and that these are reviewed regularly and updated as necessary.</w:t>
            </w:r>
          </w:p>
          <w:p w14:paraId="7E6CB883" w14:textId="0113CEEA" w:rsidR="00F855AB" w:rsidRPr="002060F6" w:rsidRDefault="00F855AB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be accountable for the staff within the faculty, delegating to the Assistant Head of Faculty as appropriate.</w:t>
            </w:r>
          </w:p>
          <w:p w14:paraId="6FF586B3" w14:textId="53A1FBA3" w:rsidR="00F855AB" w:rsidRPr="002060F6" w:rsidRDefault="00F855AB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 xml:space="preserve">To oversee the effective and efficient deployment </w:t>
            </w:r>
            <w:r w:rsidR="003C7E27" w:rsidRPr="002060F6">
              <w:rPr>
                <w:rFonts w:ascii="Arial" w:eastAsia="Arial" w:hAnsi="Arial" w:cs="Arial"/>
                <w:sz w:val="24"/>
                <w:szCs w:val="24"/>
              </w:rPr>
              <w:t>of resources to ensure high quality teaching and learning, including effective deployment of staff and physical resources.</w:t>
            </w:r>
          </w:p>
          <w:p w14:paraId="083F7C0D" w14:textId="5165F880" w:rsidR="003C7E27" w:rsidRPr="002060F6" w:rsidRDefault="003C7E27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be accountable for budget allocations within the faculty to ensure that budgets are spent in line with faculty and school priorities and best value principles.</w:t>
            </w:r>
          </w:p>
          <w:p w14:paraId="4FFB23A3" w14:textId="31F87512" w:rsidR="003C7E27" w:rsidRPr="002060F6" w:rsidRDefault="003C7E27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draw up agendas for faculty meetings</w:t>
            </w:r>
            <w:r w:rsidR="00AD19F4" w:rsidRPr="002060F6">
              <w:rPr>
                <w:rFonts w:ascii="Arial" w:eastAsia="Arial" w:hAnsi="Arial" w:cs="Arial"/>
                <w:sz w:val="24"/>
                <w:szCs w:val="24"/>
              </w:rPr>
              <w:t>, chair meetings as appropriate and ensure that minutes are distributed.</w:t>
            </w:r>
          </w:p>
          <w:p w14:paraId="0483DEA9" w14:textId="3EE9EAC5" w:rsidR="00AD19F4" w:rsidRPr="002060F6" w:rsidRDefault="00AD19F4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attend and play an active role in fortnightly Senior School Leadership meetings which will be a second calendared meeting in any given week.</w:t>
            </w:r>
          </w:p>
          <w:p w14:paraId="2EE05980" w14:textId="7C57DE3D" w:rsidR="00AD19F4" w:rsidRPr="002060F6" w:rsidRDefault="00AD19F4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implement school policies and procedures.</w:t>
            </w:r>
          </w:p>
          <w:p w14:paraId="51F5CAE3" w14:textId="5D5E8763" w:rsidR="00AD19F4" w:rsidRPr="002060F6" w:rsidRDefault="00AD19F4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 xml:space="preserve">To ensure that Health &amp; Safety policies and practices, including risk assessments in the faculty are in-line </w:t>
            </w:r>
            <w:r w:rsidR="002779B3" w:rsidRPr="002060F6">
              <w:rPr>
                <w:rFonts w:ascii="Arial" w:eastAsia="Arial" w:hAnsi="Arial" w:cs="Arial"/>
                <w:sz w:val="24"/>
                <w:szCs w:val="24"/>
              </w:rPr>
              <w:t>with national requirements and are updated where necessary.</w:t>
            </w:r>
          </w:p>
          <w:p w14:paraId="2EF66180" w14:textId="4EAA2752" w:rsidR="002779B3" w:rsidRPr="002060F6" w:rsidRDefault="002779B3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lead an identified area of whole school responsibility, which is the provision for ITE and ECTs in the secondary phase of the school.</w:t>
            </w:r>
          </w:p>
          <w:p w14:paraId="70B34137" w14:textId="505FE15A" w:rsidR="002779B3" w:rsidRPr="002060F6" w:rsidRDefault="002779B3" w:rsidP="0027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09550BAC" w14:textId="112050B2" w:rsidR="002779B3" w:rsidRPr="002060F6" w:rsidRDefault="002779B3" w:rsidP="0027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b/>
                <w:sz w:val="24"/>
                <w:szCs w:val="24"/>
              </w:rPr>
              <w:t>Leadership of Teaching, Learning and Assessment</w:t>
            </w:r>
          </w:p>
          <w:p w14:paraId="0B15B9BB" w14:textId="77777777" w:rsidR="002779B3" w:rsidRPr="002060F6" w:rsidRDefault="002779B3" w:rsidP="0027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439DD170" w14:textId="09638679" w:rsidR="00AD19F4" w:rsidRPr="002060F6" w:rsidRDefault="002779B3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lead the development of evidence informed teaching and learning, ensuring excellent standards of teaching across the faculty.</w:t>
            </w:r>
          </w:p>
          <w:p w14:paraId="4A2A896D" w14:textId="4DFFCCC1" w:rsidR="002779B3" w:rsidRPr="002060F6" w:rsidRDefault="002779B3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ensure those students with SEND, EAL and those who are More Able are well supported in the faculty.</w:t>
            </w:r>
          </w:p>
          <w:p w14:paraId="695EDFDA" w14:textId="7F89BBCA" w:rsidR="002779B3" w:rsidRPr="002060F6" w:rsidRDefault="002779B3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establish and maintain high quality learning environments within the faculty.</w:t>
            </w:r>
          </w:p>
          <w:p w14:paraId="61F62FB7" w14:textId="11F7BCCC" w:rsidR="002779B3" w:rsidRPr="002060F6" w:rsidRDefault="002779B3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ensure that the faculty provides effective support, enrichment and challenge through the organization of off-site and extra-curricular activities.</w:t>
            </w:r>
          </w:p>
          <w:p w14:paraId="6812A810" w14:textId="1576806F" w:rsidR="002779B3" w:rsidRPr="002060F6" w:rsidRDefault="002779B3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have responsibility for the quality, standardization and moderation of all aspects of assessment to ensure high standards and accurate tracking of students.</w:t>
            </w:r>
          </w:p>
          <w:p w14:paraId="7E29D340" w14:textId="42CFF9F3" w:rsidR="002779B3" w:rsidRPr="002060F6" w:rsidRDefault="002779B3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monitor proactively student progress across the faculty and ensure appropriate intervention is put in place.</w:t>
            </w:r>
          </w:p>
          <w:p w14:paraId="3FB4B2D3" w14:textId="3748F29D" w:rsidR="002779B3" w:rsidRPr="002060F6" w:rsidRDefault="002779B3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 xml:space="preserve">To oversee and ensure the implementation of the school behavior policy within the faculty </w:t>
            </w:r>
          </w:p>
          <w:p w14:paraId="5C5B033E" w14:textId="7F73ADE7" w:rsidR="002779B3" w:rsidRDefault="002060F6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lead the monitoring, evaluation and review cycle in the faculty, identifying good practice areas for development and working with staff to improve the quality of teaching and learning.</w:t>
            </w:r>
          </w:p>
          <w:p w14:paraId="13E3807D" w14:textId="62C9B265" w:rsidR="002060F6" w:rsidRDefault="002060F6" w:rsidP="00F855A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lead the provision for IIT trainees and for ECTs within the faculty.</w:t>
            </w:r>
          </w:p>
          <w:p w14:paraId="6ECDA76D" w14:textId="1F9D1107" w:rsidR="002060F6" w:rsidRDefault="002060F6" w:rsidP="0020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67A2ED8B" w14:textId="7E710138" w:rsidR="002060F6" w:rsidRDefault="002060F6" w:rsidP="0020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b/>
                <w:sz w:val="24"/>
                <w:szCs w:val="24"/>
              </w:rPr>
              <w:t>Leadership of the Curriculum</w:t>
            </w:r>
          </w:p>
          <w:p w14:paraId="5048AC57" w14:textId="3F1D3C8D" w:rsidR="002060F6" w:rsidRDefault="002060F6" w:rsidP="0020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FA8C509" w14:textId="0F971D4B" w:rsidR="002060F6" w:rsidRDefault="002060F6" w:rsidP="002060F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060F6">
              <w:rPr>
                <w:rFonts w:ascii="Arial" w:eastAsia="Arial" w:hAnsi="Arial" w:cs="Arial"/>
                <w:sz w:val="24"/>
                <w:szCs w:val="24"/>
              </w:rPr>
              <w:t>To liaise with SLT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 the Principal to ensure the delivery of an evidence-informed, comprehensive, high quality and cost-effective curriculum programme.</w:t>
            </w:r>
          </w:p>
          <w:p w14:paraId="6C848EE7" w14:textId="2A2BB3DC" w:rsidR="002060F6" w:rsidRDefault="002060F6" w:rsidP="002060F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To lead curriculum development for the whole faculty, ensuring high quality schemes of work, resources and assessments are in place for all subjects.</w:t>
            </w:r>
          </w:p>
          <w:p w14:paraId="699FC8CD" w14:textId="01847498" w:rsidR="002060F6" w:rsidRDefault="002060F6" w:rsidP="002060F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keep up to date with current developments in subject specific curriculum intent and implementation, ensuring rigorous and evidence informed development of faculty subjects.</w:t>
            </w:r>
          </w:p>
          <w:p w14:paraId="5179963A" w14:textId="5F873FC9" w:rsidR="002060F6" w:rsidRDefault="002060F6" w:rsidP="002060F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participate in monitoring, evaluation and review of curricula in all subjects within the faculty and ensure </w:t>
            </w:r>
            <w:r w:rsidR="00852FF4">
              <w:rPr>
                <w:rFonts w:ascii="Arial" w:eastAsia="Arial" w:hAnsi="Arial" w:cs="Arial"/>
                <w:sz w:val="24"/>
                <w:szCs w:val="24"/>
              </w:rPr>
              <w:t>that identified actions are implemented.</w:t>
            </w:r>
          </w:p>
          <w:p w14:paraId="62A6E719" w14:textId="2C027BB8" w:rsidR="00852FF4" w:rsidRDefault="00852FF4" w:rsidP="002060F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monitor actively and respond to curriculum development and initiatives at national, regional and local levels.</w:t>
            </w:r>
          </w:p>
          <w:p w14:paraId="22CA8A8B" w14:textId="4D862E31" w:rsidR="00852FF4" w:rsidRDefault="00852FF4" w:rsidP="002060F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ensure compliance with the requirements of relevant examination/validating bodies.</w:t>
            </w:r>
          </w:p>
          <w:p w14:paraId="19F707B3" w14:textId="7834E321" w:rsidR="00852FF4" w:rsidRDefault="00852FF4" w:rsidP="002060F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be responsible for supporting the development of numeracy, literacy and ICT within the faculty.</w:t>
            </w:r>
          </w:p>
          <w:p w14:paraId="1FFA6333" w14:textId="703D8B34" w:rsidR="00852FF4" w:rsidRDefault="00852FF4" w:rsidP="0085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041244B4" w14:textId="60D37466" w:rsidR="00852FF4" w:rsidRDefault="00852FF4" w:rsidP="0085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52FF4">
              <w:rPr>
                <w:rFonts w:ascii="Arial" w:eastAsia="Arial" w:hAnsi="Arial" w:cs="Arial"/>
                <w:b/>
                <w:sz w:val="24"/>
                <w:szCs w:val="24"/>
              </w:rPr>
              <w:t>Leadership of Staff</w:t>
            </w:r>
          </w:p>
          <w:p w14:paraId="2B255BBA" w14:textId="0A8734D0" w:rsidR="00852FF4" w:rsidRDefault="00852FF4" w:rsidP="0085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1BE9F" w14:textId="666EF1B1" w:rsidR="00852FF4" w:rsidRDefault="00852FF4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852FF4">
              <w:rPr>
                <w:rFonts w:ascii="Arial" w:eastAsia="Arial" w:hAnsi="Arial" w:cs="Arial"/>
                <w:sz w:val="24"/>
                <w:szCs w:val="24"/>
              </w:rPr>
              <w:t xml:space="preserve">To promote teamwork and motivate staff to ensure effective </w:t>
            </w:r>
            <w:r>
              <w:rPr>
                <w:rFonts w:ascii="Arial" w:eastAsia="Arial" w:hAnsi="Arial" w:cs="Arial"/>
                <w:sz w:val="24"/>
                <w:szCs w:val="24"/>
              </w:rPr>
              <w:t>working relations</w:t>
            </w:r>
            <w:r w:rsidRPr="00852FF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93AF4EF" w14:textId="1E788F72" w:rsidR="00852FF4" w:rsidRDefault="00852FF4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be responsible for the day-to-day management of faculty staff, acting as a positive role model.</w:t>
            </w:r>
          </w:p>
          <w:p w14:paraId="1223DAC3" w14:textId="2A668190" w:rsidR="00852FF4" w:rsidRDefault="00852FF4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work with the Assistant Head of Faculty to ensure that robust appraisal arrangements are in place and that professional development of staff is identified and carried out with a focus on raising standards.</w:t>
            </w:r>
          </w:p>
          <w:p w14:paraId="398537E5" w14:textId="401085D7" w:rsidR="00852FF4" w:rsidRDefault="00852FF4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act as a reviewer for a group of staff within the faculty.</w:t>
            </w:r>
          </w:p>
          <w:p w14:paraId="54EB58C1" w14:textId="410E562D" w:rsidR="00852FF4" w:rsidRDefault="00852FF4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develop your own professional practice and leadership.</w:t>
            </w:r>
          </w:p>
          <w:p w14:paraId="5E0CD0A4" w14:textId="1E1AA827" w:rsidR="00852FF4" w:rsidRDefault="00852FF4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establish and maintain high professional standards within the faculty through staff training, lesson observation, monitoring, evaluation and review.</w:t>
            </w:r>
          </w:p>
          <w:p w14:paraId="6F42E8B1" w14:textId="07B9A663" w:rsidR="00852FF4" w:rsidRDefault="00852FF4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ensure that all teachers carry out their routine responsibilities accurately and effectively e.g. registers, timely provision of information.</w:t>
            </w:r>
          </w:p>
          <w:p w14:paraId="7830D0C5" w14:textId="3EC78E19" w:rsidR="00564465" w:rsidRDefault="00564465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ensure that appropriate arrangements are in place for classes when staff are absent, liaising with the Vice Principal, Cover Supervisor and/or supply staff to secure appropriate cover within the faculty.</w:t>
            </w:r>
          </w:p>
          <w:p w14:paraId="08A33658" w14:textId="52B859D3" w:rsidR="00564465" w:rsidRDefault="00564465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undertake return to work interviews with absent staff for whom you are responsible, supporting and challenging absences in line with the school absence policy, and liaisi</w:t>
            </w:r>
            <w:r w:rsidR="00D022EE"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with HR if absence monitoring procedures are triggered.</w:t>
            </w:r>
          </w:p>
          <w:p w14:paraId="03235AEF" w14:textId="62682D67" w:rsidR="00564465" w:rsidRDefault="00564465" w:rsidP="0056446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participate in the recruitment process when required and to ensure effective induction of new staff into the faculty.</w:t>
            </w:r>
          </w:p>
          <w:p w14:paraId="51A2A2DB" w14:textId="3FADD69B" w:rsidR="00564465" w:rsidRDefault="00564465" w:rsidP="0056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0B0ED393" w14:textId="44BD898B" w:rsidR="00564465" w:rsidRDefault="00564465" w:rsidP="0056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36527F40" w14:textId="63CDD80D" w:rsidR="00564465" w:rsidRDefault="00564465" w:rsidP="0056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64465">
              <w:rPr>
                <w:rFonts w:ascii="Arial" w:eastAsia="Arial" w:hAnsi="Arial" w:cs="Arial"/>
                <w:b/>
                <w:sz w:val="24"/>
                <w:szCs w:val="24"/>
              </w:rPr>
              <w:t>Leadership of Communication and Reporting</w:t>
            </w:r>
          </w:p>
          <w:p w14:paraId="6AE66321" w14:textId="77777777" w:rsidR="00215D99" w:rsidRPr="00564465" w:rsidRDefault="00215D99" w:rsidP="0056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963A8E" w14:textId="52104B84" w:rsidR="00852FF4" w:rsidRDefault="00564465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ensure the maintenance of accurate and up-to-date information concerning </w:t>
            </w:r>
            <w:r w:rsidR="00215D99">
              <w:rPr>
                <w:rFonts w:ascii="Arial" w:eastAsia="Arial" w:hAnsi="Arial" w:cs="Arial"/>
                <w:sz w:val="24"/>
                <w:szCs w:val="24"/>
              </w:rPr>
              <w:t>the faculty on the management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information system.</w:t>
            </w:r>
          </w:p>
          <w:p w14:paraId="562DF219" w14:textId="5992FFE8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analyse and evaluate performance data, producing reports as required.</w:t>
            </w:r>
          </w:p>
          <w:p w14:paraId="77704BD5" w14:textId="1A9575C0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provide the Academy Council with relevant information relating to the faculty’s performance and development.</w:t>
            </w:r>
          </w:p>
          <w:p w14:paraId="72D31173" w14:textId="4A3B08B0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ensure effective communication/consultation as appropriate with parents.</w:t>
            </w:r>
          </w:p>
          <w:p w14:paraId="55C91616" w14:textId="593AFC23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liaise with WAT, partner schools, higher education, Industry, Examination Boards, Awarding Bodies and other relevant external bodies.</w:t>
            </w:r>
          </w:p>
          <w:p w14:paraId="46E7BB2F" w14:textId="2B7856D0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To lead the development of effective subject links within WAT and the wider community.</w:t>
            </w:r>
          </w:p>
          <w:p w14:paraId="42A73504" w14:textId="4CCF39C2" w:rsidR="00215D99" w:rsidRPr="00215D99" w:rsidRDefault="00215D99" w:rsidP="0021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E79ADF" w14:textId="7D3F0379" w:rsidR="00215D99" w:rsidRDefault="00215D99" w:rsidP="0021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15D99">
              <w:rPr>
                <w:rFonts w:ascii="Arial" w:eastAsia="Arial" w:hAnsi="Arial" w:cs="Arial"/>
                <w:b/>
                <w:sz w:val="24"/>
                <w:szCs w:val="24"/>
              </w:rPr>
              <w:t>Whole School Leadership</w:t>
            </w:r>
          </w:p>
          <w:p w14:paraId="75753842" w14:textId="77777777" w:rsidR="00D022EE" w:rsidRPr="00215D99" w:rsidRDefault="00D022EE" w:rsidP="0021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B17B992" w14:textId="420A8140" w:rsidR="00852FF4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15D99">
              <w:rPr>
                <w:rFonts w:ascii="Arial" w:eastAsia="Arial" w:hAnsi="Arial" w:cs="Arial"/>
                <w:sz w:val="24"/>
                <w:szCs w:val="24"/>
              </w:rPr>
              <w:t>To ensure that school makes a positive contribution to training teachers of the future.</w:t>
            </w:r>
          </w:p>
          <w:p w14:paraId="280D4B9E" w14:textId="5C76E1F8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liaise with and monitor the effectiveness of ITE providers, ensuring that the school is working with good quality providers and offering appropriate placements.</w:t>
            </w:r>
          </w:p>
          <w:p w14:paraId="57C7DB4E" w14:textId="2E445A26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act as the ‘professional tutor’ or equivalent for all secondary trainees.</w:t>
            </w:r>
          </w:p>
          <w:p w14:paraId="0F431DA8" w14:textId="0566804E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ensure that all trainees have mentors who are well trained and that all the requirements of the ITE courses are met.</w:t>
            </w:r>
          </w:p>
          <w:p w14:paraId="4854ED8D" w14:textId="4C5DC222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register ECTs with the DfE and Teaching School Hub.</w:t>
            </w:r>
          </w:p>
          <w:p w14:paraId="43ED7050" w14:textId="60D9D621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ensure that all ECTs have mentors, use their time effectively and access the requisite online and face to face training.</w:t>
            </w:r>
          </w:p>
          <w:p w14:paraId="1FF89059" w14:textId="6E3B36CE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create a programme of in house training and induction for ITE trainees and ECTs.</w:t>
            </w:r>
          </w:p>
          <w:p w14:paraId="70B27192" w14:textId="5B0CF8B2" w:rsidR="00215D99" w:rsidRDefault="00215D99" w:rsidP="00852FF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ensure completion of all paperwork/progress reviews for ITE trainees and ECTs.</w:t>
            </w:r>
          </w:p>
          <w:p w14:paraId="4A01B5CC" w14:textId="09684FBA" w:rsidR="00BA277B" w:rsidRPr="002060F6" w:rsidRDefault="00BA277B" w:rsidP="00D022EE">
            <w:pPr>
              <w:rPr>
                <w:rFonts w:ascii="Arial" w:hAnsi="Arial" w:cs="Arial"/>
                <w:strike/>
              </w:rPr>
            </w:pPr>
          </w:p>
          <w:p w14:paraId="3EA826CE" w14:textId="77777777" w:rsidR="00BA277B" w:rsidRPr="002060F6" w:rsidRDefault="00BA277B" w:rsidP="00BA277B">
            <w:pPr>
              <w:pStyle w:val="ListParagraph"/>
              <w:rPr>
                <w:rFonts w:ascii="Arial" w:hAnsi="Arial" w:cs="Arial"/>
              </w:rPr>
            </w:pPr>
          </w:p>
          <w:p w14:paraId="53E5828E" w14:textId="1BC7C046" w:rsidR="00BA277B" w:rsidRDefault="00BA277B" w:rsidP="00CA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7F8D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  <w:p w14:paraId="5927F673" w14:textId="77777777" w:rsidR="00BA230F" w:rsidRPr="00CA7F8D" w:rsidRDefault="00BA230F" w:rsidP="00CA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E53A2" w14:textId="77777777" w:rsidR="00BA277B" w:rsidRPr="00CA7F8D" w:rsidRDefault="00BA277B" w:rsidP="00BA27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7" w:line="252" w:lineRule="exact"/>
              <w:ind w:right="655"/>
              <w:contextualSpacing/>
              <w:rPr>
                <w:rFonts w:ascii="Arial" w:hAnsi="Arial" w:cs="Arial"/>
                <w:strike/>
                <w:sz w:val="24"/>
                <w:szCs w:val="24"/>
              </w:rPr>
            </w:pPr>
            <w:r w:rsidRPr="00CA7F8D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z w:val="24"/>
                <w:szCs w:val="24"/>
              </w:rPr>
              <w:t>p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CA7F8D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sz w:val="24"/>
                <w:szCs w:val="24"/>
              </w:rPr>
              <w:t>c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sz w:val="24"/>
                <w:szCs w:val="24"/>
              </w:rPr>
              <w:t>p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sz w:val="24"/>
                <w:szCs w:val="24"/>
              </w:rPr>
              <w:t>e in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 xml:space="preserve"> the school’s annual appraisal process.</w:t>
            </w:r>
          </w:p>
          <w:p w14:paraId="546B43B8" w14:textId="77777777" w:rsidR="00BA277B" w:rsidRPr="00CA7F8D" w:rsidRDefault="00BA277B" w:rsidP="00BA27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7" w:line="252" w:lineRule="exact"/>
              <w:ind w:right="6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To have regard to guidance on keeping children safe in education.</w:t>
            </w:r>
          </w:p>
          <w:p w14:paraId="3211C9D4" w14:textId="77777777" w:rsidR="00BA277B" w:rsidRPr="00CA7F8D" w:rsidRDefault="00BA277B" w:rsidP="00BA27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7" w:line="252" w:lineRule="exact"/>
              <w:ind w:right="6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To observe health and safety requirements and to contribute to ensuring a safe working environment.</w:t>
            </w:r>
          </w:p>
          <w:p w14:paraId="6F7897A4" w14:textId="77777777" w:rsidR="00BA277B" w:rsidRPr="00CA7F8D" w:rsidRDefault="00BA277B" w:rsidP="00BA277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8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A7F8D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a</w:t>
            </w:r>
            <w:r w:rsidRPr="00CA7F8D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k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CA7F8D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es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b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ili</w:t>
            </w:r>
            <w:r w:rsidRPr="00CA7F8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y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>f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or</w:t>
            </w:r>
            <w:r w:rsidRPr="00CA7F8D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’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CA7F8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>w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n con</w:t>
            </w:r>
            <w:r w:rsidRPr="00CA7F8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ui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ng</w:t>
            </w:r>
            <w:r w:rsidRPr="00CA7F8D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p</w:t>
            </w:r>
            <w:r w:rsidRPr="00CA7F8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CA7F8D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f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ess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al d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CA7F8D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v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CA7F8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CA7F8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position w:val="-1"/>
                <w:sz w:val="24"/>
                <w:szCs w:val="24"/>
              </w:rPr>
              <w:t>.</w:t>
            </w:r>
          </w:p>
          <w:p w14:paraId="032CA2F8" w14:textId="5940DD91" w:rsidR="00BA277B" w:rsidRPr="00D022EE" w:rsidRDefault="00BA277B" w:rsidP="00D022E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37" w:line="254" w:lineRule="exact"/>
              <w:ind w:right="8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A7F8D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CA7F8D">
              <w:rPr>
                <w:rFonts w:ascii="Arial" w:hAnsi="Arial" w:cs="Arial"/>
                <w:sz w:val="24"/>
                <w:szCs w:val="24"/>
              </w:rPr>
              <w:t>a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sz w:val="24"/>
                <w:szCs w:val="24"/>
              </w:rPr>
              <w:t>nta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z w:val="24"/>
                <w:szCs w:val="24"/>
              </w:rPr>
              <w:t>h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spacing w:val="2"/>
                <w:sz w:val="24"/>
                <w:szCs w:val="24"/>
              </w:rPr>
              <w:t>g</w:t>
            </w:r>
            <w:r w:rsidRPr="00CA7F8D">
              <w:rPr>
                <w:rFonts w:ascii="Arial" w:hAnsi="Arial" w:cs="Arial"/>
                <w:sz w:val="24"/>
                <w:szCs w:val="24"/>
              </w:rPr>
              <w:t>h</w:t>
            </w:r>
            <w:r w:rsidRPr="00CA7F8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sz w:val="24"/>
                <w:szCs w:val="24"/>
              </w:rPr>
              <w:t>a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sz w:val="24"/>
                <w:szCs w:val="24"/>
              </w:rPr>
              <w:t>d</w:t>
            </w:r>
            <w:r w:rsidRPr="00CA7F8D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CA7F8D">
              <w:rPr>
                <w:rFonts w:ascii="Arial" w:hAnsi="Arial" w:cs="Arial"/>
                <w:sz w:val="24"/>
                <w:szCs w:val="24"/>
              </w:rPr>
              <w:t>ds</w:t>
            </w:r>
            <w:r w:rsidRPr="00CA7F8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z w:val="24"/>
                <w:szCs w:val="24"/>
              </w:rPr>
              <w:t>f</w:t>
            </w:r>
            <w:r w:rsidRPr="00CA7F8D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CA7F8D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CA7F8D">
              <w:rPr>
                <w:rFonts w:ascii="Arial" w:hAnsi="Arial" w:cs="Arial"/>
                <w:sz w:val="24"/>
                <w:szCs w:val="24"/>
              </w:rPr>
              <w:t>e</w:t>
            </w:r>
            <w:r w:rsidRPr="00CA7F8D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CA7F8D">
              <w:rPr>
                <w:rFonts w:ascii="Arial" w:hAnsi="Arial" w:cs="Arial"/>
                <w:sz w:val="24"/>
                <w:szCs w:val="24"/>
              </w:rPr>
              <w:t>s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sz w:val="24"/>
                <w:szCs w:val="24"/>
              </w:rPr>
              <w:t>a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li</w:t>
            </w:r>
            <w:r w:rsidRPr="00CA7F8D">
              <w:rPr>
                <w:rFonts w:ascii="Arial" w:hAnsi="Arial" w:cs="Arial"/>
                <w:sz w:val="24"/>
                <w:szCs w:val="24"/>
              </w:rPr>
              <w:t>sm</w:t>
            </w:r>
            <w:r w:rsidRPr="00CA7F8D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z w:val="24"/>
                <w:szCs w:val="24"/>
              </w:rPr>
              <w:t>e</w:t>
            </w:r>
            <w:r w:rsidRPr="00CA7F8D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CA7F8D">
              <w:rPr>
                <w:rFonts w:ascii="Arial" w:hAnsi="Arial" w:cs="Arial"/>
                <w:sz w:val="24"/>
                <w:szCs w:val="24"/>
              </w:rPr>
              <w:t>e</w:t>
            </w:r>
            <w:r w:rsidRPr="00CA7F8D">
              <w:rPr>
                <w:rFonts w:ascii="Arial" w:hAnsi="Arial" w:cs="Arial"/>
                <w:spacing w:val="6"/>
                <w:sz w:val="24"/>
                <w:szCs w:val="24"/>
              </w:rPr>
              <w:t>r</w:t>
            </w:r>
            <w:r w:rsidRPr="00CA7F8D">
              <w:rPr>
                <w:rFonts w:ascii="Arial" w:hAnsi="Arial" w:cs="Arial"/>
                <w:sz w:val="24"/>
                <w:szCs w:val="24"/>
              </w:rPr>
              <w:t>y</w:t>
            </w:r>
            <w:r w:rsidRPr="00CA7F8D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CA7F8D">
              <w:rPr>
                <w:rFonts w:ascii="Arial" w:hAnsi="Arial" w:cs="Arial"/>
                <w:sz w:val="24"/>
                <w:szCs w:val="24"/>
              </w:rPr>
              <w:t>ac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CA7F8D">
              <w:rPr>
                <w:rFonts w:ascii="Arial" w:hAnsi="Arial" w:cs="Arial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z w:val="24"/>
                <w:szCs w:val="24"/>
              </w:rPr>
              <w:t>f</w:t>
            </w:r>
            <w:r w:rsidRPr="00CA7F8D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sz w:val="24"/>
                <w:szCs w:val="24"/>
              </w:rPr>
              <w:t>he</w:t>
            </w:r>
            <w:r w:rsidRPr="00CA7F8D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CA7F8D">
              <w:rPr>
                <w:rFonts w:ascii="Arial" w:hAnsi="Arial" w:cs="Arial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CA7F8D">
              <w:rPr>
                <w:rFonts w:ascii="Arial" w:hAnsi="Arial" w:cs="Arial"/>
                <w:sz w:val="24"/>
                <w:szCs w:val="24"/>
              </w:rPr>
              <w:t>e,</w:t>
            </w:r>
            <w:r w:rsidRPr="00CA7F8D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CA7F8D">
              <w:rPr>
                <w:rFonts w:ascii="Arial" w:hAnsi="Arial" w:cs="Arial"/>
                <w:sz w:val="24"/>
                <w:szCs w:val="24"/>
              </w:rPr>
              <w:t>nc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CA7F8D">
              <w:rPr>
                <w:rFonts w:ascii="Arial" w:hAnsi="Arial" w:cs="Arial"/>
                <w:sz w:val="24"/>
                <w:szCs w:val="24"/>
              </w:rPr>
              <w:t>u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di</w:t>
            </w:r>
            <w:r w:rsidRPr="00CA7F8D">
              <w:rPr>
                <w:rFonts w:ascii="Arial" w:hAnsi="Arial" w:cs="Arial"/>
                <w:sz w:val="24"/>
                <w:szCs w:val="24"/>
              </w:rPr>
              <w:t>ng co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sz w:val="24"/>
                <w:szCs w:val="24"/>
              </w:rPr>
              <w:t>d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CA7F8D">
              <w:rPr>
                <w:rFonts w:ascii="Arial" w:hAnsi="Arial" w:cs="Arial"/>
                <w:sz w:val="24"/>
                <w:szCs w:val="24"/>
              </w:rPr>
              <w:t>c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CA7F8D">
              <w:rPr>
                <w:rFonts w:ascii="Arial" w:hAnsi="Arial" w:cs="Arial"/>
                <w:sz w:val="24"/>
                <w:szCs w:val="24"/>
              </w:rPr>
              <w:t>, dr</w:t>
            </w:r>
            <w:r w:rsidRPr="00CA7F8D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CA7F8D">
              <w:rPr>
                <w:rFonts w:ascii="Arial" w:hAnsi="Arial" w:cs="Arial"/>
                <w:sz w:val="24"/>
                <w:szCs w:val="24"/>
              </w:rPr>
              <w:t>ss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A7F8D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CA7F8D">
              <w:rPr>
                <w:rFonts w:ascii="Arial" w:hAnsi="Arial" w:cs="Arial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CA7F8D">
              <w:rPr>
                <w:rFonts w:ascii="Arial" w:hAnsi="Arial" w:cs="Arial"/>
                <w:sz w:val="24"/>
                <w:szCs w:val="24"/>
              </w:rPr>
              <w:t>e, a</w:t>
            </w:r>
            <w:r w:rsidRPr="00CA7F8D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sz w:val="24"/>
                <w:szCs w:val="24"/>
              </w:rPr>
              <w:t>d co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CA7F8D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CA7F8D">
              <w:rPr>
                <w:rFonts w:ascii="Arial" w:hAnsi="Arial" w:cs="Arial"/>
                <w:sz w:val="24"/>
                <w:szCs w:val="24"/>
              </w:rPr>
              <w:t>u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ni</w:t>
            </w:r>
            <w:r w:rsidRPr="00CA7F8D">
              <w:rPr>
                <w:rFonts w:ascii="Arial" w:hAnsi="Arial" w:cs="Arial"/>
                <w:sz w:val="24"/>
                <w:szCs w:val="24"/>
              </w:rPr>
              <w:t>cati</w:t>
            </w:r>
            <w:r w:rsidRPr="00CA7F8D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CA7F8D">
              <w:rPr>
                <w:rFonts w:ascii="Arial" w:hAnsi="Arial" w:cs="Arial"/>
                <w:sz w:val="24"/>
                <w:szCs w:val="24"/>
              </w:rPr>
              <w:t>n</w:t>
            </w:r>
            <w:r w:rsidRPr="00CA7F8D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CA7F8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C96CDE" w14:textId="3CB1FB01" w:rsidR="00AF141F" w:rsidRPr="00D022EE" w:rsidRDefault="00AF141F" w:rsidP="00BA277B">
            <w:pPr>
              <w:pStyle w:val="ListParagraph"/>
              <w:numPr>
                <w:ilvl w:val="0"/>
                <w:numId w:val="4"/>
              </w:num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eastAsia="Century Gothic" w:hAnsi="Arial" w:cs="Arial"/>
                <w:sz w:val="24"/>
                <w:szCs w:val="24"/>
                <w:lang w:eastAsia="en-GB"/>
              </w:rPr>
            </w:pPr>
            <w:r w:rsidRPr="00D022EE">
              <w:rPr>
                <w:rFonts w:ascii="Arial" w:hAnsi="Arial" w:cs="Arial"/>
                <w:sz w:val="24"/>
                <w:szCs w:val="24"/>
              </w:rPr>
              <w:t>Responsibility for promoting and safeguarding the welfare and protection of children, working within policies and procedures, taking care of own and other’s health and safety, etc</w:t>
            </w:r>
          </w:p>
          <w:p w14:paraId="4D627310" w14:textId="13B15EAB" w:rsidR="00AF141F" w:rsidRPr="00D022EE" w:rsidRDefault="00AF141F" w:rsidP="00BA277B">
            <w:pPr>
              <w:pStyle w:val="ListParagraph"/>
              <w:numPr>
                <w:ilvl w:val="0"/>
                <w:numId w:val="4"/>
              </w:num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D022EE">
              <w:rPr>
                <w:rFonts w:ascii="Arial" w:hAnsi="Arial" w:cs="Arial"/>
                <w:sz w:val="24"/>
                <w:szCs w:val="24"/>
              </w:rPr>
              <w:t>The JD and PS will be reviewed regularly, and any changes will be made in consultation with the post holder</w:t>
            </w:r>
          </w:p>
          <w:p w14:paraId="54E514AA" w14:textId="5EBAD8DB" w:rsidR="00AF141F" w:rsidRPr="00D022EE" w:rsidRDefault="00AF141F" w:rsidP="00BA277B">
            <w:pPr>
              <w:pStyle w:val="ListParagraph"/>
              <w:numPr>
                <w:ilvl w:val="0"/>
                <w:numId w:val="4"/>
              </w:num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D022EE">
              <w:rPr>
                <w:rFonts w:ascii="Arial" w:hAnsi="Arial" w:cs="Arial"/>
                <w:sz w:val="24"/>
                <w:szCs w:val="24"/>
              </w:rPr>
              <w:t>These responsibilities are not exhaustive, and the post holder is expected to carry out any other related reasonable duties commensurate with their skills, abilities and grade.</w:t>
            </w:r>
          </w:p>
          <w:p w14:paraId="45DBFAB6" w14:textId="77777777" w:rsidR="00AF141F" w:rsidRPr="002060F6" w:rsidRDefault="00AF141F" w:rsidP="00AF141F">
            <w:pPr>
              <w:pStyle w:val="Default"/>
              <w:jc w:val="both"/>
              <w:rPr>
                <w:color w:val="auto"/>
                <w:highlight w:val="yellow"/>
              </w:rPr>
            </w:pPr>
          </w:p>
          <w:p w14:paraId="097E6829" w14:textId="77777777" w:rsidR="005D4841" w:rsidRPr="002060F6" w:rsidRDefault="005D4841" w:rsidP="005D4841">
            <w:pPr>
              <w:pStyle w:val="Default"/>
              <w:jc w:val="both"/>
              <w:rPr>
                <w:color w:val="auto"/>
              </w:rPr>
            </w:pPr>
          </w:p>
          <w:p w14:paraId="3B69733C" w14:textId="748056D2" w:rsidR="005D4841" w:rsidRPr="002060F6" w:rsidRDefault="005D4841" w:rsidP="00CA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779B3" w:rsidRPr="00877226" w14:paraId="2D698FB9" w14:textId="77777777" w:rsidTr="00D55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12CC40B" w14:textId="77777777" w:rsidR="002779B3" w:rsidRPr="00BA277B" w:rsidRDefault="002779B3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</w:p>
        </w:tc>
      </w:tr>
    </w:tbl>
    <w:p w14:paraId="7C7A0757" w14:textId="77777777" w:rsidR="005819EE" w:rsidRPr="00877226" w:rsidRDefault="005819EE">
      <w:pPr>
        <w:rPr>
          <w:rFonts w:ascii="Arial" w:hAnsi="Arial" w:cs="Arial"/>
          <w:sz w:val="24"/>
          <w:szCs w:val="24"/>
        </w:rPr>
      </w:pPr>
    </w:p>
    <w:p w14:paraId="05DB87F0" w14:textId="671537B0" w:rsidR="00F729A5" w:rsidRPr="009904A0" w:rsidRDefault="005819EE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877226">
        <w:rPr>
          <w:rFonts w:ascii="Arial" w:hAnsi="Arial" w:cs="Arial"/>
          <w:sz w:val="24"/>
          <w:szCs w:val="24"/>
        </w:rPr>
        <w:br w:type="page"/>
      </w:r>
      <w:r w:rsidR="00F729A5">
        <w:rPr>
          <w:rFonts w:ascii="Arial" w:eastAsia="Arial" w:hAnsi="Arial" w:cs="Arial"/>
          <w:b/>
          <w:color w:val="7030A0"/>
          <w:sz w:val="24"/>
          <w:szCs w:val="24"/>
        </w:rPr>
        <w:lastRenderedPageBreak/>
        <w:t xml:space="preserve">P e r s o n  S p e c i f i c a </w:t>
      </w:r>
      <w:r w:rsidR="00F729A5" w:rsidRPr="00877226">
        <w:rPr>
          <w:rFonts w:ascii="Arial" w:eastAsia="Arial" w:hAnsi="Arial" w:cs="Arial"/>
          <w:b/>
          <w:color w:val="7030A0"/>
          <w:sz w:val="24"/>
          <w:szCs w:val="24"/>
        </w:rPr>
        <w:t>t I o n</w:t>
      </w:r>
    </w:p>
    <w:p w14:paraId="08678164" w14:textId="6063110D" w:rsidR="00F729A5" w:rsidRDefault="00A953AE" w:rsidP="005819EE">
      <w:pPr>
        <w:spacing w:after="5" w:line="249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of Humanities</w:t>
      </w:r>
    </w:p>
    <w:p w14:paraId="02242B8D" w14:textId="001EC8D7" w:rsidR="00A95D4E" w:rsidRDefault="00AE181A" w:rsidP="00A95D4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 = Essential criteria, </w:t>
      </w:r>
      <w:r w:rsidR="00F94160">
        <w:rPr>
          <w:rFonts w:ascii="Arial" w:hAnsi="Arial" w:cs="Arial"/>
        </w:rPr>
        <w:t>D = Desirable criteria</w:t>
      </w:r>
    </w:p>
    <w:p w14:paraId="60523954" w14:textId="77777777" w:rsidR="00C70037" w:rsidRDefault="00C7003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07251DE7" w14:textId="67470FA6" w:rsidR="00C70037" w:rsidRDefault="00C7003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4"/>
          <w:szCs w:val="24"/>
        </w:rPr>
      </w:pPr>
      <w:r w:rsidRPr="00C70037">
        <w:rPr>
          <w:rFonts w:ascii="Arial" w:hAnsi="Arial" w:cs="Arial"/>
          <w:b/>
          <w:color w:val="7030A0"/>
          <w:sz w:val="24"/>
          <w:szCs w:val="24"/>
        </w:rPr>
        <w:t>Qualifications</w:t>
      </w:r>
    </w:p>
    <w:p w14:paraId="2643ED59" w14:textId="331F322C" w:rsidR="00C7003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A953A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953AE">
        <w:rPr>
          <w:rFonts w:ascii="Arial" w:hAnsi="Arial" w:cs="Arial"/>
          <w:sz w:val="24"/>
          <w:szCs w:val="24"/>
        </w:rPr>
        <w:t>Qualified Teacher Status</w:t>
      </w:r>
    </w:p>
    <w:p w14:paraId="1ADA4956" w14:textId="32739A32" w:rsidR="00C7003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– </w:t>
      </w:r>
      <w:r w:rsidR="00A953AE">
        <w:rPr>
          <w:rFonts w:ascii="Arial" w:hAnsi="Arial" w:cs="Arial"/>
          <w:sz w:val="24"/>
          <w:szCs w:val="24"/>
        </w:rPr>
        <w:t>Good degree in the subject to be taught</w:t>
      </w:r>
    </w:p>
    <w:p w14:paraId="17EF3613" w14:textId="51579F71" w:rsidR="00A953AE" w:rsidRDefault="00A953A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Evidence of further personal and professional development</w:t>
      </w:r>
    </w:p>
    <w:p w14:paraId="298C885F" w14:textId="6636D779" w:rsidR="00A953AE" w:rsidRDefault="00A953A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– Evidence of leadership development</w:t>
      </w:r>
    </w:p>
    <w:p w14:paraId="6E58F70C" w14:textId="34566C81" w:rsidR="00C70037" w:rsidRDefault="00C7003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</w:rPr>
      </w:pPr>
      <w:r w:rsidRPr="00C70037">
        <w:rPr>
          <w:rFonts w:ascii="Arial" w:hAnsi="Arial" w:cs="Arial"/>
          <w:b/>
          <w:color w:val="7030A0"/>
          <w:sz w:val="24"/>
          <w:szCs w:val="24"/>
        </w:rPr>
        <w:t>Experience and Knowledge</w:t>
      </w:r>
    </w:p>
    <w:p w14:paraId="38CF4160" w14:textId="75D61EDC" w:rsidR="00C70037" w:rsidRDefault="00A953AE" w:rsidP="00EA7B46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E</w:t>
      </w:r>
      <w:r w:rsidR="009A7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9A7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Excellent classroom practitioner with experience of successfully </w:t>
      </w:r>
      <w:r w:rsidR="00EA7B46">
        <w:rPr>
          <w:rFonts w:ascii="Arial" w:hAnsi="Arial" w:cs="Arial"/>
          <w:sz w:val="24"/>
          <w:szCs w:val="24"/>
        </w:rPr>
        <w:t>teaching across the age and ability range.</w:t>
      </w:r>
    </w:p>
    <w:p w14:paraId="604DBE0E" w14:textId="0C76EB70" w:rsidR="00EA7B46" w:rsidRDefault="00EA7B46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Experience of successfully raising standards and improving outcomes for pupils.</w:t>
      </w:r>
    </w:p>
    <w:p w14:paraId="4932ED98" w14:textId="163AFF20" w:rsidR="00EA7B46" w:rsidRDefault="00EA7B46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Experience of successfully leading others.</w:t>
      </w:r>
    </w:p>
    <w:p w14:paraId="705A3D86" w14:textId="4CEFE8B4" w:rsidR="00EA7B46" w:rsidRDefault="00EA7B46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Experience of leading curriculum development.</w:t>
      </w:r>
    </w:p>
    <w:p w14:paraId="2ABF19BC" w14:textId="57A19D29" w:rsidR="00EA7B46" w:rsidRDefault="00EA7B46" w:rsidP="00EA7B46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Experience of leading others in using assessment and data to improve pupil outcomes and progress.</w:t>
      </w:r>
    </w:p>
    <w:p w14:paraId="6E172002" w14:textId="1552FEF7" w:rsidR="00EA7B46" w:rsidRDefault="00EA7B46" w:rsidP="00EA7B46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Up to date knowledge of current educational and pedagogical thinking and research.</w:t>
      </w:r>
    </w:p>
    <w:p w14:paraId="2C0C17A8" w14:textId="5C639D9C" w:rsidR="00EA7B46" w:rsidRDefault="00EA7B46" w:rsidP="00EA7B46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Experience of implementing systems and processes to monitor and evaluate teaching and learning.</w:t>
      </w:r>
    </w:p>
    <w:p w14:paraId="74A2484E" w14:textId="5B4175D6" w:rsidR="00EA7B46" w:rsidRDefault="00EA7B46" w:rsidP="00EA7B46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Experience of working with ITE trainees and/or ECTs.</w:t>
      </w:r>
    </w:p>
    <w:p w14:paraId="7952883A" w14:textId="6939103B" w:rsidR="00EA7B46" w:rsidRDefault="00EA7B46" w:rsidP="00EA7B46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– Evidence of commitment to education beyond the classroom.</w:t>
      </w:r>
    </w:p>
    <w:p w14:paraId="4D308877" w14:textId="2950603B" w:rsidR="00EA7B46" w:rsidRDefault="00EA7B46" w:rsidP="00EA7B46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 – Experience of leading CPD </w:t>
      </w:r>
      <w:r w:rsidR="008D271E">
        <w:rPr>
          <w:rFonts w:ascii="Arial" w:hAnsi="Arial" w:cs="Arial"/>
          <w:sz w:val="24"/>
          <w:szCs w:val="24"/>
        </w:rPr>
        <w:t>for colleagues.</w:t>
      </w:r>
    </w:p>
    <w:p w14:paraId="0B88709B" w14:textId="01935332" w:rsidR="008D271E" w:rsidRDefault="008D271E" w:rsidP="00EA7B46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– Experience of successfully working with parents and the wider community.</w:t>
      </w:r>
    </w:p>
    <w:p w14:paraId="0BEB48D5" w14:textId="5E387B3D" w:rsidR="008D271E" w:rsidRDefault="008D271E" w:rsidP="00EA7B46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– Experience of mentoring an ECT or ITE trainee.</w:t>
      </w:r>
    </w:p>
    <w:p w14:paraId="2CD9388D" w14:textId="11914514" w:rsidR="00C70037" w:rsidRPr="008D271E" w:rsidRDefault="007C676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8D271E">
        <w:rPr>
          <w:rFonts w:ascii="Arial" w:hAnsi="Arial" w:cs="Arial"/>
          <w:b/>
          <w:color w:val="7030A0"/>
          <w:sz w:val="24"/>
          <w:szCs w:val="24"/>
        </w:rPr>
        <w:t>Skills and Abilities</w:t>
      </w:r>
    </w:p>
    <w:p w14:paraId="0D13BA27" w14:textId="32982955" w:rsidR="008D271E" w:rsidRDefault="008D271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8D271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–</w:t>
      </w:r>
      <w:r w:rsidRPr="008D2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passion for the subject and an ability to inspire pupils.</w:t>
      </w:r>
    </w:p>
    <w:p w14:paraId="12767487" w14:textId="2429835A" w:rsidR="008D271E" w:rsidRDefault="008D271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Excellent classroom management and skills.</w:t>
      </w:r>
    </w:p>
    <w:p w14:paraId="67A0D82D" w14:textId="26649881" w:rsidR="008D271E" w:rsidRDefault="008D271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Proven ability of leading, managing and inspiring a team.</w:t>
      </w:r>
    </w:p>
    <w:p w14:paraId="7C3B5A30" w14:textId="7D14BC04" w:rsidR="008D271E" w:rsidRDefault="008D271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The ability to plan strategically, action plan and to monitor and review progress.</w:t>
      </w:r>
    </w:p>
    <w:p w14:paraId="1F7DEBCD" w14:textId="358EFD21" w:rsidR="008D271E" w:rsidRDefault="008D271E" w:rsidP="008D271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Excellent knowledge and understanding of current educational issues and of national developments in curriculum and assessment.</w:t>
      </w:r>
    </w:p>
    <w:p w14:paraId="60991D05" w14:textId="326C08D8" w:rsidR="008D271E" w:rsidRDefault="008D271E" w:rsidP="008D271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- Knowledge of effective planning, monitoring and self-evaluation methods.</w:t>
      </w:r>
    </w:p>
    <w:p w14:paraId="342A7B67" w14:textId="77777777" w:rsidR="008D271E" w:rsidRDefault="008D271E" w:rsidP="008D271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Knowledge and skill in using data intelligently to improve outcomes for pupils.</w:t>
      </w:r>
    </w:p>
    <w:p w14:paraId="613DA5CA" w14:textId="77777777" w:rsidR="008D271E" w:rsidRDefault="008D271E" w:rsidP="008D271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Excellent communication skills.</w:t>
      </w:r>
    </w:p>
    <w:p w14:paraId="48FFE77B" w14:textId="77777777" w:rsidR="008D271E" w:rsidRDefault="008D271E" w:rsidP="008D271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The ability to teach creatively through a variety of teaching and learning styles.</w:t>
      </w:r>
    </w:p>
    <w:p w14:paraId="0532F8F0" w14:textId="3A5A0224" w:rsidR="008D271E" w:rsidRDefault="008D271E" w:rsidP="008D271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The ability to establish goo</w:t>
      </w:r>
      <w:r w:rsidR="001F737D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working relationships with a wide range of people including pupils, colleagues, parents and Academy Councillors.</w:t>
      </w:r>
    </w:p>
    <w:p w14:paraId="617268CA" w14:textId="3046361B" w:rsidR="008D271E" w:rsidRDefault="008D271E" w:rsidP="008D271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Willingness to undertake further professional development in order to develop skills.</w:t>
      </w:r>
    </w:p>
    <w:p w14:paraId="1096897F" w14:textId="05027DAF" w:rsidR="008D271E" w:rsidRDefault="008D271E" w:rsidP="008D271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Knowledge and understanding of safeguarding.</w:t>
      </w:r>
    </w:p>
    <w:p w14:paraId="4991ADC9" w14:textId="2AB17D7E" w:rsidR="008D271E" w:rsidRPr="008D271E" w:rsidRDefault="008D271E" w:rsidP="008D271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– Knowledge and understanding of the ITE and Early Career Frameworks.  </w:t>
      </w:r>
    </w:p>
    <w:p w14:paraId="619D7B3F" w14:textId="2C38E54E" w:rsidR="0015705E" w:rsidRDefault="0015705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CA7F8D">
        <w:rPr>
          <w:rFonts w:ascii="Arial" w:hAnsi="Arial" w:cs="Arial"/>
          <w:b/>
          <w:color w:val="7030A0"/>
          <w:sz w:val="24"/>
          <w:szCs w:val="24"/>
        </w:rPr>
        <w:t>Personal Qualities</w:t>
      </w:r>
    </w:p>
    <w:p w14:paraId="1DC1B269" w14:textId="164F4D1F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Ambition and Vision.</w:t>
      </w:r>
    </w:p>
    <w:p w14:paraId="7B4E6451" w14:textId="10AA952E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Open, reflective and analytical</w:t>
      </w:r>
    </w:p>
    <w:p w14:paraId="7B29C83E" w14:textId="1C77FAE8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Organised, able to prioritise and to plan strategically.</w:t>
      </w:r>
    </w:p>
    <w:p w14:paraId="41E16AA7" w14:textId="52E0E561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 – Can lead by example, is able to enthuse and support others.</w:t>
      </w:r>
    </w:p>
    <w:p w14:paraId="18CC9F3F" w14:textId="0204F9F2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Ability to work on own initiative and as part of a team.</w:t>
      </w:r>
    </w:p>
    <w:p w14:paraId="13F559F6" w14:textId="11EC4EA1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A commitment to raising the achievement and aspirations of all pupils.</w:t>
      </w:r>
    </w:p>
    <w:p w14:paraId="31913AAD" w14:textId="1105C92E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Efficient and tenacious, determined to follow initiatives through to excellent conclusions.</w:t>
      </w:r>
    </w:p>
    <w:p w14:paraId="2603A07C" w14:textId="5448427A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Able to hold others to account.</w:t>
      </w:r>
    </w:p>
    <w:p w14:paraId="732B3243" w14:textId="3AF8942B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Ability to work under pressure and remain positive, enthusiastic and resilient.</w:t>
      </w:r>
    </w:p>
    <w:p w14:paraId="6D58FA41" w14:textId="365AF444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A sense of humour and perspective.</w:t>
      </w:r>
    </w:p>
    <w:p w14:paraId="5A59A40D" w14:textId="1418F118" w:rsid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Excellent interpersonal and teamwork skills.</w:t>
      </w:r>
    </w:p>
    <w:p w14:paraId="1BE5EFAD" w14:textId="19BF20CA" w:rsidR="00CA7F8D" w:rsidRDefault="00CA7F8D" w:rsidP="00CA7F8D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Can effectively manage the variety of demands and pressures that come with a leadership role.</w:t>
      </w:r>
    </w:p>
    <w:p w14:paraId="5459A958" w14:textId="40F57FCE" w:rsidR="00CA7F8D" w:rsidRDefault="00CA7F8D" w:rsidP="00CA7F8D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Willingness to display flexibility in working hours as occasions may sometimes demand.</w:t>
      </w:r>
    </w:p>
    <w:p w14:paraId="2534E62B" w14:textId="00DCD326" w:rsidR="00CA7F8D" w:rsidRDefault="00CA7F8D" w:rsidP="00CA7F8D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Supportive of the ethos of Polam Hall School.</w:t>
      </w:r>
    </w:p>
    <w:p w14:paraId="329D0B02" w14:textId="3D18F777" w:rsidR="00CA7F8D" w:rsidRDefault="00CA7F8D" w:rsidP="00CA7F8D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Set exceptionally high standards for self and others.</w:t>
      </w:r>
    </w:p>
    <w:p w14:paraId="01DA5E76" w14:textId="20CCCE78" w:rsidR="00CA7F8D" w:rsidRDefault="00CA7F8D" w:rsidP="00CA7F8D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– The personal skills to enable networking with professional colleagues, locally, regionally or nationally.</w:t>
      </w:r>
    </w:p>
    <w:p w14:paraId="09DCE225" w14:textId="77777777" w:rsidR="00CA7F8D" w:rsidRPr="00CA7F8D" w:rsidRDefault="00CA7F8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</w:p>
    <w:p w14:paraId="09724B4B" w14:textId="760E9A63" w:rsidR="009A76E7" w:rsidRPr="00EA7B46" w:rsidRDefault="009A76E7" w:rsidP="009A76E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color w:val="FF0000"/>
          <w:sz w:val="24"/>
          <w:szCs w:val="24"/>
        </w:rPr>
      </w:pPr>
    </w:p>
    <w:sectPr w:rsidR="009A76E7" w:rsidRPr="00EA7B46" w:rsidSect="009904A0">
      <w:headerReference w:type="default" r:id="rId10"/>
      <w:footerReference w:type="default" r:id="rId11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F65A" w14:textId="77777777" w:rsidR="00CA7F8D" w:rsidRDefault="00CA7F8D" w:rsidP="005819EE">
      <w:r>
        <w:separator/>
      </w:r>
    </w:p>
  </w:endnote>
  <w:endnote w:type="continuationSeparator" w:id="0">
    <w:p w14:paraId="293CACE4" w14:textId="77777777" w:rsidR="00CA7F8D" w:rsidRDefault="00CA7F8D" w:rsidP="0058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7883" w14:textId="5ACA1FD6" w:rsidR="00CA7F8D" w:rsidRDefault="00CA7F8D" w:rsidP="005819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JD and PS – WAT January 2020                                                </w:t>
    </w:r>
    <w:r>
      <w:rPr>
        <w:rFonts w:ascii="Arial" w:eastAsia="Arial" w:hAnsi="Arial" w:cs="Arial"/>
        <w:color w:val="000000"/>
      </w:rPr>
      <w:t xml:space="preserve">Page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7730A3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NUMPAGES</w:instrText>
    </w:r>
    <w:r>
      <w:rPr>
        <w:rFonts w:ascii="Arial" w:eastAsia="Arial" w:hAnsi="Arial" w:cs="Arial"/>
        <w:color w:val="000000"/>
      </w:rPr>
      <w:fldChar w:fldCharType="separate"/>
    </w:r>
    <w:r w:rsidR="007730A3">
      <w:rPr>
        <w:rFonts w:ascii="Arial" w:eastAsia="Arial" w:hAnsi="Arial" w:cs="Arial"/>
        <w:noProof/>
        <w:color w:val="000000"/>
      </w:rPr>
      <w:t>6</w:t>
    </w:r>
    <w:r>
      <w:rPr>
        <w:rFonts w:ascii="Arial" w:eastAsia="Arial" w:hAnsi="Arial" w:cs="Arial"/>
        <w:color w:val="000000"/>
      </w:rPr>
      <w:fldChar w:fldCharType="end"/>
    </w:r>
  </w:p>
  <w:p w14:paraId="1864FFE0" w14:textId="77777777" w:rsidR="00CA7F8D" w:rsidRDefault="00CA7F8D" w:rsidP="005819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hanging="181"/>
      <w:rPr>
        <w:rFonts w:ascii="Arial" w:eastAsia="Arial" w:hAnsi="Arial" w:cs="Arial"/>
        <w:color w:val="000000"/>
        <w:sz w:val="18"/>
        <w:szCs w:val="18"/>
      </w:rPr>
    </w:pPr>
  </w:p>
  <w:p w14:paraId="75B8F662" w14:textId="77777777" w:rsidR="00CA7F8D" w:rsidRDefault="00CA7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751A" w14:textId="77777777" w:rsidR="00CA7F8D" w:rsidRDefault="00CA7F8D" w:rsidP="005819EE">
      <w:r>
        <w:separator/>
      </w:r>
    </w:p>
  </w:footnote>
  <w:footnote w:type="continuationSeparator" w:id="0">
    <w:p w14:paraId="22F2B45F" w14:textId="77777777" w:rsidR="00CA7F8D" w:rsidRDefault="00CA7F8D" w:rsidP="0058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DA7C" w14:textId="0861AEFA" w:rsidR="00CA7F8D" w:rsidRPr="00877226" w:rsidRDefault="00CA7F8D" w:rsidP="00D5595E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Polam Hall School</w:t>
    </w:r>
  </w:p>
  <w:p w14:paraId="16104489" w14:textId="77777777" w:rsidR="00CA7F8D" w:rsidRDefault="00CA7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1CB2"/>
    <w:multiLevelType w:val="hybridMultilevel"/>
    <w:tmpl w:val="16F03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42F4"/>
    <w:multiLevelType w:val="hybridMultilevel"/>
    <w:tmpl w:val="99BA16AC"/>
    <w:lvl w:ilvl="0" w:tplc="08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" w15:restartNumberingAfterBreak="0">
    <w:nsid w:val="0D342EA9"/>
    <w:multiLevelType w:val="hybridMultilevel"/>
    <w:tmpl w:val="89E4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C5D"/>
    <w:multiLevelType w:val="hybridMultilevel"/>
    <w:tmpl w:val="8C28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6291D"/>
    <w:multiLevelType w:val="hybridMultilevel"/>
    <w:tmpl w:val="1F78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26EB"/>
    <w:multiLevelType w:val="hybridMultilevel"/>
    <w:tmpl w:val="77D2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570B3"/>
    <w:multiLevelType w:val="hybridMultilevel"/>
    <w:tmpl w:val="8C204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066D5"/>
    <w:multiLevelType w:val="hybridMultilevel"/>
    <w:tmpl w:val="CEE4A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42A8A"/>
    <w:multiLevelType w:val="hybridMultilevel"/>
    <w:tmpl w:val="3B5C9C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2F7A83"/>
    <w:multiLevelType w:val="hybridMultilevel"/>
    <w:tmpl w:val="2EA4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1046C"/>
    <w:multiLevelType w:val="hybridMultilevel"/>
    <w:tmpl w:val="BD724E10"/>
    <w:lvl w:ilvl="0" w:tplc="41ACB25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E"/>
    <w:rsid w:val="00017FD0"/>
    <w:rsid w:val="000242E6"/>
    <w:rsid w:val="00034A82"/>
    <w:rsid w:val="00077B5A"/>
    <w:rsid w:val="00092EC6"/>
    <w:rsid w:val="0009301A"/>
    <w:rsid w:val="000A20EF"/>
    <w:rsid w:val="000B0FB6"/>
    <w:rsid w:val="00116735"/>
    <w:rsid w:val="0015705E"/>
    <w:rsid w:val="00182916"/>
    <w:rsid w:val="001F737D"/>
    <w:rsid w:val="002060F6"/>
    <w:rsid w:val="00215D99"/>
    <w:rsid w:val="002779B3"/>
    <w:rsid w:val="002851F5"/>
    <w:rsid w:val="002F15CA"/>
    <w:rsid w:val="003837BA"/>
    <w:rsid w:val="003C302A"/>
    <w:rsid w:val="003C7E27"/>
    <w:rsid w:val="003D0803"/>
    <w:rsid w:val="00522648"/>
    <w:rsid w:val="00531078"/>
    <w:rsid w:val="00564465"/>
    <w:rsid w:val="005819EE"/>
    <w:rsid w:val="005D4841"/>
    <w:rsid w:val="00702515"/>
    <w:rsid w:val="00750A4C"/>
    <w:rsid w:val="007730A3"/>
    <w:rsid w:val="007C676D"/>
    <w:rsid w:val="00852FF4"/>
    <w:rsid w:val="00877226"/>
    <w:rsid w:val="008977C7"/>
    <w:rsid w:val="008D271E"/>
    <w:rsid w:val="009865C2"/>
    <w:rsid w:val="009904A0"/>
    <w:rsid w:val="009A76E7"/>
    <w:rsid w:val="00A25755"/>
    <w:rsid w:val="00A953AE"/>
    <w:rsid w:val="00A95D4E"/>
    <w:rsid w:val="00AB5C86"/>
    <w:rsid w:val="00AD19F4"/>
    <w:rsid w:val="00AE181A"/>
    <w:rsid w:val="00AF141F"/>
    <w:rsid w:val="00BA230F"/>
    <w:rsid w:val="00BA277B"/>
    <w:rsid w:val="00C70037"/>
    <w:rsid w:val="00CA7F8D"/>
    <w:rsid w:val="00D022EE"/>
    <w:rsid w:val="00D242A8"/>
    <w:rsid w:val="00D5595E"/>
    <w:rsid w:val="00DF2428"/>
    <w:rsid w:val="00EA7B46"/>
    <w:rsid w:val="00F07E82"/>
    <w:rsid w:val="00F729A5"/>
    <w:rsid w:val="00F855AB"/>
    <w:rsid w:val="00F94160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8342"/>
  <w15:chartTrackingRefBased/>
  <w15:docId w15:val="{B6199313-996A-4535-9E2F-9AA5962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EE"/>
    <w:pPr>
      <w:spacing w:after="0" w:line="240" w:lineRule="auto"/>
    </w:pPr>
    <w:rPr>
      <w:rFonts w:ascii="Century Gothic" w:eastAsia="Century Gothic" w:hAnsi="Century Gothic" w:cs="Century Gothic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819EE"/>
    <w:rPr>
      <w:rFonts w:eastAsia="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819EE"/>
    <w:rPr>
      <w:rFonts w:ascii="Century Gothic" w:eastAsia="Times New Roman" w:hAnsi="Century Gothic" w:cs="Times New Roman"/>
      <w:sz w:val="20"/>
      <w:szCs w:val="24"/>
      <w:lang w:val="en-GB"/>
    </w:rPr>
  </w:style>
  <w:style w:type="table" w:styleId="TableGrid">
    <w:name w:val="Table Grid"/>
    <w:basedOn w:val="TableNormal"/>
    <w:uiPriority w:val="39"/>
    <w:rsid w:val="005819E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EE"/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81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EE"/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customStyle="1" w:styleId="Default">
    <w:name w:val="Default"/>
    <w:rsid w:val="00182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141F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E7AE45673A42BCCB5EC3500E4811" ma:contentTypeVersion="10" ma:contentTypeDescription="Create a new document." ma:contentTypeScope="" ma:versionID="24f5a9b96ea611d8352ae3c2b258880f">
  <xsd:schema xmlns:xsd="http://www.w3.org/2001/XMLSchema" xmlns:xs="http://www.w3.org/2001/XMLSchema" xmlns:p="http://schemas.microsoft.com/office/2006/metadata/properties" xmlns:ns2="97ea8301-800e-4e99-9b07-4b7ab28195ca" xmlns:ns3="1641f205-61a1-4fe1-aab1-00a86ab8c7ad" targetNamespace="http://schemas.microsoft.com/office/2006/metadata/properties" ma:root="true" ma:fieldsID="b2b33c477048a1d354416694e87519a3" ns2:_="" ns3:_="">
    <xsd:import namespace="97ea8301-800e-4e99-9b07-4b7ab28195ca"/>
    <xsd:import namespace="1641f205-61a1-4fe1-aab1-00a86ab8c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8301-800e-4e99-9b07-4b7ab2819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f205-61a1-4fe1-aab1-00a86ab8c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C919D-E8C1-4EA9-A404-8013E2B6A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4E33E-9070-4D51-BFE8-3980CC20CBC5}">
  <ds:schemaRefs>
    <ds:schemaRef ds:uri="1641f205-61a1-4fe1-aab1-00a86ab8c7a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97ea8301-800e-4e99-9b07-4b7ab28195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B411DF-907A-40EA-A556-CD7DC9361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8301-800e-4e99-9b07-4b7ab28195ca"/>
    <ds:schemaRef ds:uri="1641f205-61a1-4fe1-aab1-00a86ab8c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Cross</dc:creator>
  <cp:keywords/>
  <dc:description/>
  <cp:lastModifiedBy>Victoria Williams</cp:lastModifiedBy>
  <cp:revision>7</cp:revision>
  <dcterms:created xsi:type="dcterms:W3CDTF">2023-06-13T08:17:00Z</dcterms:created>
  <dcterms:modified xsi:type="dcterms:W3CDTF">2023-06-14T08:22:00Z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0x010100AF09E7AE45673A42BCCB5EC3500E4811</vt:lpwstr>
  </property>
</Properties>
</file>