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51" w:rsidRPr="00B5579E" w:rsidRDefault="00B5579E" w:rsidP="00B5579E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8"/>
          <w:szCs w:val="28"/>
        </w:rPr>
        <w:t>TEACHER OF MATHS MPS - UPS</w:t>
      </w:r>
    </w:p>
    <w:tbl>
      <w:tblPr>
        <w:tblW w:w="1014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3"/>
        <w:gridCol w:w="6378"/>
      </w:tblGrid>
      <w:tr w:rsidR="00B80432" w:rsidTr="00C34D0D">
        <w:trPr>
          <w:trHeight w:val="1245"/>
        </w:trPr>
        <w:tc>
          <w:tcPr>
            <w:tcW w:w="10141" w:type="dxa"/>
            <w:gridSpan w:val="2"/>
          </w:tcPr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Job Description</w:t>
            </w: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The School is committed to safeguarding and promoting the welfare of children and young people and expects all staff and volunteers to share this commitment.</w:t>
            </w: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0432" w:rsidTr="00C34D0D">
        <w:trPr>
          <w:trHeight w:val="4635"/>
        </w:trPr>
        <w:tc>
          <w:tcPr>
            <w:tcW w:w="3763" w:type="dxa"/>
          </w:tcPr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</w:p>
          <w:p w:rsidR="00B80432" w:rsidRPr="00B80432" w:rsidRDefault="00B80432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  <w:r w:rsidRPr="00B80432"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  <w:t>Summary of the role:</w:t>
            </w:r>
          </w:p>
          <w:p w:rsidR="00B80432" w:rsidRPr="00B80432" w:rsidRDefault="00B80432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                 </w:t>
            </w: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ind w:left="335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8" w:type="dxa"/>
          </w:tcPr>
          <w:p w:rsidR="00B80432" w:rsidRDefault="00B80432" w:rsidP="00B80432">
            <w:pPr>
              <w:autoSpaceDE w:val="0"/>
              <w:autoSpaceDN w:val="0"/>
              <w:adjustRightInd w:val="0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Job Title:           </w:t>
            </w: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Mathematics Teacher</w:t>
            </w:r>
          </w:p>
          <w:p w:rsidR="00B80432" w:rsidRDefault="00B80432" w:rsidP="00B80432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80432" w:rsidRPr="00BF6CE2" w:rsidRDefault="00B80432" w:rsidP="00B80432">
            <w:pPr>
              <w:autoSpaceDE w:val="0"/>
              <w:autoSpaceDN w:val="0"/>
              <w:adjustRightInd w:val="0"/>
              <w:ind w:left="-21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Department:       </w:t>
            </w:r>
            <w:r w:rsidRPr="00BF6CE2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M</w:t>
            </w:r>
            <w:r w:rsidRPr="00BF6CE2">
              <w:rPr>
                <w:rFonts w:ascii="GillSansMT" w:hAnsi="GillSansMT" w:cs="GillSansMT"/>
                <w:color w:val="000000"/>
                <w:sz w:val="20"/>
                <w:szCs w:val="20"/>
              </w:rPr>
              <w:t>athematics Department</w:t>
            </w:r>
          </w:p>
          <w:p w:rsidR="00B80432" w:rsidRDefault="00B80432" w:rsidP="00B80432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Location</w:t>
            </w:r>
            <w:r w:rsidRPr="00BF6CE2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 xml:space="preserve">: </w:t>
            </w:r>
            <w:r w:rsidR="00BF6CE2" w:rsidRPr="00BF6CE2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="00BF6CE2" w:rsidRPr="00BF6CE2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Staindrop</w:t>
            </w:r>
            <w:proofErr w:type="spellEnd"/>
            <w:r w:rsidR="00BF6CE2" w:rsidRPr="00BF6CE2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 xml:space="preserve"> School an Academy, </w:t>
            </w:r>
            <w:proofErr w:type="spellStart"/>
            <w:r w:rsidR="00BF6CE2" w:rsidRPr="00BF6CE2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Cleatlam</w:t>
            </w:r>
            <w:proofErr w:type="spellEnd"/>
            <w:r w:rsidR="00BF6CE2" w:rsidRPr="00BF6CE2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 xml:space="preserve"> Lane</w:t>
            </w:r>
          </w:p>
          <w:p w:rsidR="00B80432" w:rsidRDefault="00B80432" w:rsidP="00B80432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Pr="00BF6CE2" w:rsidRDefault="00B80432" w:rsidP="00B80432">
            <w:pPr>
              <w:autoSpaceDE w:val="0"/>
              <w:autoSpaceDN w:val="0"/>
              <w:adjustRightInd w:val="0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Job Purpose:     </w:t>
            </w:r>
            <w:r w:rsidR="006A1487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T</w:t>
            </w:r>
            <w:r w:rsidR="00BF6CE2" w:rsidRPr="00BF6CE2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o</w:t>
            </w:r>
            <w:r w:rsidRPr="00BF6CE2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teach Mathematics</w:t>
            </w:r>
          </w:p>
          <w:p w:rsidR="00B80432" w:rsidRPr="00B80432" w:rsidRDefault="00B80432" w:rsidP="00B80432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Reporting Line: </w:t>
            </w:r>
            <w:r w:rsidR="00BF6CE2"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Head of Department</w:t>
            </w:r>
          </w:p>
          <w:p w:rsidR="00B80432" w:rsidRDefault="00B80432" w:rsidP="00B80432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Hours:                </w:t>
            </w: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Full Time</w:t>
            </w:r>
          </w:p>
          <w:p w:rsidR="00B80432" w:rsidRDefault="00B80432" w:rsidP="00B80432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:rsidR="00B80432" w:rsidRDefault="00B80432" w:rsidP="00B80432">
            <w:pPr>
              <w:autoSpaceDE w:val="0"/>
              <w:autoSpaceDN w:val="0"/>
              <w:adjustRightInd w:val="0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Salary:               </w:t>
            </w:r>
            <w:r w:rsidR="00DF705C">
              <w:rPr>
                <w:rFonts w:ascii="GillSansMT" w:hAnsi="GillSansMT" w:cs="GillSansMT"/>
                <w:color w:val="000000"/>
                <w:sz w:val="20"/>
                <w:szCs w:val="20"/>
              </w:rPr>
              <w:t>MPS/UPS</w:t>
            </w:r>
          </w:p>
          <w:p w:rsidR="00B80432" w:rsidRDefault="00B80432" w:rsidP="00B80432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Pr="00BF6CE2" w:rsidRDefault="00B80432" w:rsidP="00B80432">
            <w:pPr>
              <w:autoSpaceDE w:val="0"/>
              <w:autoSpaceDN w:val="0"/>
              <w:adjustRightInd w:val="0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Role Summary: </w:t>
            </w:r>
            <w:r w:rsidR="00BF6CE2"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BF6CE2">
              <w:rPr>
                <w:rFonts w:ascii="GillSansMT" w:hAnsi="GillSansMT" w:cs="GillSansMT"/>
                <w:color w:val="000000"/>
                <w:sz w:val="20"/>
                <w:szCs w:val="20"/>
              </w:rPr>
              <w:t>t</w:t>
            </w:r>
            <w:r w:rsidRPr="00BF6CE2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o teach Key Stage 3 and GCSE      </w:t>
            </w:r>
          </w:p>
          <w:p w:rsidR="00B80432" w:rsidRPr="00B80432" w:rsidRDefault="00BF6CE2" w:rsidP="00B80432">
            <w:pPr>
              <w:autoSpaceDE w:val="0"/>
              <w:autoSpaceDN w:val="0"/>
              <w:adjustRightInd w:val="0"/>
              <w:ind w:left="1440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</w:t>
            </w:r>
            <w:r w:rsidR="00B80432" w:rsidRPr="00BF6CE2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</w:t>
            </w:r>
            <w:r w:rsidR="00B80432" w:rsidRPr="00BF6CE2">
              <w:rPr>
                <w:rFonts w:ascii="GillSansMT" w:hAnsi="GillSansMT" w:cs="GillSansMT"/>
                <w:color w:val="000000"/>
                <w:sz w:val="20"/>
                <w:szCs w:val="20"/>
              </w:rPr>
              <w:t>Mathematics.  Also to take on role of tutor</w:t>
            </w:r>
            <w:r w:rsidR="00B80432" w:rsidRPr="00B80432"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  <w:t xml:space="preserve">. </w:t>
            </w:r>
          </w:p>
          <w:p w:rsidR="00B80432" w:rsidRDefault="00BF6CE2" w:rsidP="00B80432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80432" w:rsidRDefault="00B80432" w:rsidP="00B80432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0432" w:rsidTr="00C34D0D">
        <w:trPr>
          <w:trHeight w:val="634"/>
        </w:trPr>
        <w:tc>
          <w:tcPr>
            <w:tcW w:w="3763" w:type="dxa"/>
          </w:tcPr>
          <w:p w:rsidR="00B80432" w:rsidRDefault="00B80432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  <w:t>Responsible to:</w:t>
            </w:r>
          </w:p>
        </w:tc>
        <w:tc>
          <w:tcPr>
            <w:tcW w:w="6378" w:type="dxa"/>
          </w:tcPr>
          <w:p w:rsidR="00B80432" w:rsidRPr="00B80432" w:rsidRDefault="00B80432" w:rsidP="00B8043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Head of Mathematics</w:t>
            </w:r>
          </w:p>
        </w:tc>
      </w:tr>
      <w:tr w:rsidR="00B80432" w:rsidTr="00C34D0D">
        <w:trPr>
          <w:trHeight w:val="634"/>
        </w:trPr>
        <w:tc>
          <w:tcPr>
            <w:tcW w:w="3763" w:type="dxa"/>
          </w:tcPr>
          <w:p w:rsidR="009A0BD1" w:rsidRDefault="009A0BD1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</w:p>
          <w:p w:rsidR="009A0BD1" w:rsidRDefault="009A0BD1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</w:p>
          <w:p w:rsidR="009A0BD1" w:rsidRDefault="009A0BD1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</w:p>
          <w:p w:rsidR="009A0BD1" w:rsidRDefault="009A0BD1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</w:p>
          <w:p w:rsidR="009A0BD1" w:rsidRDefault="009A0BD1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</w:p>
          <w:p w:rsidR="009A0BD1" w:rsidRDefault="009A0BD1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</w:p>
          <w:p w:rsidR="009A0BD1" w:rsidRDefault="009A0BD1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</w:p>
          <w:p w:rsidR="009A0BD1" w:rsidRDefault="009A0BD1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</w:p>
          <w:p w:rsidR="009A0BD1" w:rsidRDefault="009A0BD1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</w:p>
          <w:p w:rsidR="00B80432" w:rsidRDefault="00B80432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b/>
                <w:color w:val="000000"/>
                <w:sz w:val="20"/>
                <w:szCs w:val="20"/>
              </w:rPr>
              <w:t>Main duties and responsibilities:</w:t>
            </w:r>
          </w:p>
        </w:tc>
        <w:tc>
          <w:tcPr>
            <w:tcW w:w="6378" w:type="dxa"/>
          </w:tcPr>
          <w:p w:rsidR="00B80432" w:rsidRDefault="00B80432" w:rsidP="00B80432">
            <w:pPr>
              <w:autoSpaceDE w:val="0"/>
              <w:autoSpaceDN w:val="0"/>
              <w:adjustRightInd w:val="0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Your Professional Duties</w:t>
            </w:r>
          </w:p>
          <w:p w:rsidR="00C34D0D" w:rsidRDefault="00C34D0D" w:rsidP="00B80432">
            <w:pPr>
              <w:autoSpaceDE w:val="0"/>
              <w:autoSpaceDN w:val="0"/>
              <w:adjustRightInd w:val="0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C34D0D" w:rsidRDefault="00C34D0D" w:rsidP="00C34D0D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You are expected to act in accordance with the aims, policies and administrative procedures of the School.  In so doing your teaching will at all times meet Teacher Standards (</w:t>
            </w:r>
            <w:proofErr w:type="spellStart"/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Dfe</w:t>
            </w:r>
            <w:proofErr w:type="spellEnd"/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).</w:t>
            </w:r>
          </w:p>
          <w:p w:rsidR="00C34D0D" w:rsidRDefault="00C34D0D" w:rsidP="00C34D0D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C34D0D" w:rsidRDefault="00C34D0D" w:rsidP="00C34D0D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The following duties shall be deemed to be included in the professional duties which you will be required to perform:</w:t>
            </w:r>
          </w:p>
          <w:p w:rsidR="00C34D0D" w:rsidRDefault="00C34D0D" w:rsidP="00C34D0D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C34D0D" w:rsidRDefault="00C34D0D" w:rsidP="00C34D0D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C34D0D" w:rsidRDefault="00C34D0D" w:rsidP="00C34D0D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Specific Duties and Responsibilities</w:t>
            </w:r>
          </w:p>
          <w:p w:rsidR="00323A6A" w:rsidRDefault="00323A6A" w:rsidP="00C34D0D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C34D0D" w:rsidRPr="00C34D0D" w:rsidRDefault="00C34D0D" w:rsidP="00C34D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Teaching</w:t>
            </w:r>
          </w:p>
          <w:p w:rsidR="00C34D0D" w:rsidRP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t</w:t>
            </w:r>
            <w:r w:rsid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o drive for Outstanding levels of attainment and progress</w:t>
            </w:r>
          </w:p>
          <w:p w:rsidR="00C34D0D" w:rsidRPr="00C34D0D" w:rsidRDefault="0045516F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u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phold</w:t>
            </w:r>
            <w:proofErr w:type="gramEnd"/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the Department’s high standards of preparation, teaching and</w:t>
            </w:r>
            <w:r w:rsidR="00C34D0D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discipline.</w:t>
            </w:r>
          </w:p>
          <w:p w:rsidR="00C34D0D" w:rsidRP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p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lan lessons in accordance with the Department’s schemes of work</w:t>
            </w:r>
          </w:p>
          <w:p w:rsidR="00C34D0D" w:rsidRP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c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ontribute to the development, evaluation and monitoring of the policies,</w:t>
            </w:r>
            <w:r w:rsidR="00C34D0D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syllabuses and schemes of work of the Department</w:t>
            </w:r>
          </w:p>
          <w:p w:rsidR="00C34D0D" w:rsidRP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l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iaise with relevant colleagues on the planning of work for collaborative delivery</w:t>
            </w:r>
          </w:p>
          <w:p w:rsidR="00C34D0D" w:rsidRP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m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onitor, track a</w:t>
            </w:r>
            <w:r w:rsidR="00DF705C">
              <w:rPr>
                <w:rFonts w:ascii="GillSansMT" w:hAnsi="GillSansMT" w:cs="GillSansMT"/>
                <w:color w:val="000000"/>
                <w:sz w:val="20"/>
                <w:szCs w:val="20"/>
              </w:rPr>
              <w:t>nd be aware of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prior levels of attainment and maintain records</w:t>
            </w:r>
          </w:p>
          <w:p w:rsid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s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et and mark examinations and other forms of assessment</w:t>
            </w:r>
          </w:p>
          <w:p w:rsidR="00C34D0D" w:rsidRP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u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se ICT within the mathematics curriculum</w:t>
            </w:r>
          </w:p>
          <w:p w:rsidR="00C34D0D" w:rsidRP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e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stablish high and appropriate expectations for learning, motivation and presentation of work</w:t>
            </w:r>
          </w:p>
          <w:p w:rsidR="00C34D0D" w:rsidRPr="00C34D0D" w:rsidRDefault="00C34D0D" w:rsidP="00C34D0D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C34D0D" w:rsidRDefault="00C34D0D" w:rsidP="00C34D0D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C34D0D" w:rsidRDefault="00C34D0D" w:rsidP="00C34D0D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C34D0D" w:rsidRDefault="00C34D0D" w:rsidP="00C34D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Assessment, Recording and Reporting</w:t>
            </w:r>
          </w:p>
          <w:p w:rsidR="00C34D0D" w:rsidRP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m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aintain plans of lessons undertaken and records of  work</w:t>
            </w:r>
          </w:p>
          <w:p w:rsidR="00C34D0D" w:rsidRP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s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et and mark homework </w:t>
            </w:r>
            <w:r w:rsid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and ensure subsequent student improvement as per school policy</w:t>
            </w:r>
          </w:p>
          <w:p w:rsidR="00C34D0D" w:rsidRP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p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rov</w:t>
            </w:r>
            <w:r w:rsid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ision of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constructive oral and written feedback, with clear targets for future learning</w:t>
            </w:r>
          </w:p>
          <w:p w:rsidR="00C34D0D" w:rsidRP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r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eport on pupil progress in line with School policy and as specified in the published calendar</w:t>
            </w:r>
          </w:p>
          <w:p w:rsidR="00C34D0D" w:rsidRDefault="009A0BD1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k</w:t>
            </w:r>
            <w:r w:rsidR="00C34D0D" w:rsidRPr="00C34D0D">
              <w:rPr>
                <w:rFonts w:ascii="GillSansMT" w:hAnsi="GillSansMT" w:cs="GillSansMT"/>
                <w:color w:val="000000"/>
                <w:sz w:val="20"/>
                <w:szCs w:val="20"/>
              </w:rPr>
              <w:t>eeping parents informed of  progress at parents’ evenings, and other means as appropriate</w:t>
            </w:r>
          </w:p>
          <w:p w:rsidR="00B7092E" w:rsidRDefault="00B7092E" w:rsidP="00C34D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to contribute to the School and Department’s Quality Assurance policy</w:t>
            </w:r>
          </w:p>
          <w:p w:rsidR="00B7092E" w:rsidRDefault="00B7092E" w:rsidP="00B7092E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B7092E" w:rsidRDefault="00B7092E" w:rsidP="00B7092E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C. </w:t>
            </w:r>
            <w:r w:rsidR="009A0BD1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Pastoral Care</w:t>
            </w:r>
          </w:p>
          <w:p w:rsidR="00B7092E" w:rsidRPr="00B7092E" w:rsidRDefault="009A0BD1" w:rsidP="00B709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b</w:t>
            </w:r>
            <w:r w:rsidR="00B7092E" w:rsidRP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e</w:t>
            </w:r>
            <w:r w:rsid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ing</w:t>
            </w:r>
            <w:r w:rsidR="00B7092E" w:rsidRPr="00B7092E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fully conversant with, and apply</w:t>
            </w:r>
            <w:r w:rsid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ing</w:t>
            </w:r>
            <w:r w:rsidR="00B7092E" w:rsidRP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, the School’s child protection</w:t>
            </w:r>
            <w:r w:rsidR="00B7092E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policy</w:t>
            </w:r>
            <w:r w:rsidR="00B7092E" w:rsidRPr="00B7092E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and </w:t>
            </w:r>
            <w:r w:rsid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all related issues</w:t>
            </w:r>
          </w:p>
          <w:p w:rsidR="00B7092E" w:rsidRPr="00B7092E" w:rsidRDefault="009A0BD1" w:rsidP="00B709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p</w:t>
            </w:r>
            <w:r w:rsidR="00B7092E" w:rsidRP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romot</w:t>
            </w:r>
            <w:r w:rsid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ion of</w:t>
            </w:r>
            <w:r w:rsidR="00B7092E" w:rsidRPr="00B7092E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good attendance and monitor</w:t>
            </w:r>
            <w:r w:rsid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ing</w:t>
            </w:r>
            <w:r w:rsidR="00B7092E" w:rsidRPr="00B7092E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it in accordance with School policy</w:t>
            </w:r>
          </w:p>
          <w:p w:rsidR="00B7092E" w:rsidRDefault="009A0BD1" w:rsidP="00B709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p</w:t>
            </w:r>
            <w:r w:rsidR="00B7092E" w:rsidRP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romot</w:t>
            </w:r>
            <w:r w:rsidR="00B7092E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e </w:t>
            </w:r>
            <w:r w:rsidR="00B7092E" w:rsidRPr="00B7092E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the general progress and well-being of </w:t>
            </w:r>
            <w:r w:rsid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students</w:t>
            </w:r>
            <w:r w:rsidR="00B7092E" w:rsidRPr="00B7092E">
              <w:rPr>
                <w:rFonts w:ascii="GillSansMT" w:hAnsi="GillSansMT" w:cs="GillSansMT"/>
                <w:color w:val="000000"/>
                <w:sz w:val="20"/>
                <w:szCs w:val="20"/>
              </w:rPr>
              <w:t>’ in your care</w:t>
            </w:r>
          </w:p>
          <w:p w:rsidR="00D7373C" w:rsidRDefault="009A0BD1" w:rsidP="00B7092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a</w:t>
            </w:r>
            <w:r w:rsid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ct as a tutor</w:t>
            </w:r>
          </w:p>
          <w:p w:rsidR="009A0BD1" w:rsidRPr="009A0BD1" w:rsidRDefault="009A0BD1" w:rsidP="009A0BD1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D7373C" w:rsidRPr="009A0BD1" w:rsidRDefault="00D7373C" w:rsidP="009A0BD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 w:rsidRPr="009A0BD1">
              <w:rPr>
                <w:rFonts w:ascii="GillSansMT" w:hAnsi="GillSansMT" w:cs="GillSansMT"/>
                <w:color w:val="000000"/>
                <w:sz w:val="20"/>
                <w:szCs w:val="20"/>
              </w:rPr>
              <w:t>Professional Standards</w:t>
            </w:r>
          </w:p>
          <w:p w:rsidR="00D7373C" w:rsidRPr="009A0BD1" w:rsidRDefault="009A0BD1" w:rsidP="009A0BD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p</w:t>
            </w:r>
            <w:r w:rsidR="00D7373C" w:rsidRPr="009A0BD1">
              <w:rPr>
                <w:rFonts w:ascii="GillSansMT" w:hAnsi="GillSansMT" w:cs="GillSansMT"/>
                <w:color w:val="000000"/>
                <w:sz w:val="20"/>
                <w:szCs w:val="20"/>
              </w:rPr>
              <w:t>lay a full role in the Appraisal process</w:t>
            </w:r>
          </w:p>
          <w:p w:rsidR="00D7373C" w:rsidRPr="009A0BD1" w:rsidRDefault="009A0BD1" w:rsidP="009A0BD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a</w:t>
            </w:r>
            <w:r w:rsidR="00D7373C" w:rsidRPr="009A0BD1">
              <w:rPr>
                <w:rFonts w:ascii="GillSansMT" w:hAnsi="GillSansMT" w:cs="GillSansMT"/>
                <w:color w:val="000000"/>
                <w:sz w:val="20"/>
                <w:szCs w:val="20"/>
              </w:rPr>
              <w:t>t all times meet Teacher Standards (</w:t>
            </w:r>
            <w:proofErr w:type="spellStart"/>
            <w:r w:rsidR="00D7373C" w:rsidRPr="009A0BD1">
              <w:rPr>
                <w:rFonts w:ascii="GillSansMT" w:hAnsi="GillSansMT" w:cs="GillSansMT"/>
                <w:color w:val="000000"/>
                <w:sz w:val="20"/>
                <w:szCs w:val="20"/>
              </w:rPr>
              <w:t>Dfe</w:t>
            </w:r>
            <w:proofErr w:type="spellEnd"/>
            <w:r w:rsidR="00D7373C" w:rsidRPr="009A0BD1">
              <w:rPr>
                <w:rFonts w:ascii="GillSansMT" w:hAnsi="GillSansMT" w:cs="GillSansMT"/>
                <w:color w:val="000000"/>
                <w:sz w:val="20"/>
                <w:szCs w:val="20"/>
              </w:rPr>
              <w:t>)</w:t>
            </w:r>
          </w:p>
          <w:p w:rsidR="00D7373C" w:rsidRPr="00D7373C" w:rsidRDefault="009A0BD1" w:rsidP="00D737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s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upport</w:t>
            </w:r>
            <w:r w:rsidR="00D7373C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ing 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the aims and ethos of the School</w:t>
            </w:r>
          </w:p>
          <w:p w:rsidR="00D7373C" w:rsidRDefault="009A0BD1" w:rsidP="00D737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t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reating all members of the School community with respect and consideration</w:t>
            </w:r>
          </w:p>
          <w:p w:rsidR="00D7373C" w:rsidRPr="00D7373C" w:rsidRDefault="009A0BD1" w:rsidP="00D737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t</w:t>
            </w:r>
            <w:r w:rsid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reating all consistently and without prejudice</w:t>
            </w:r>
          </w:p>
          <w:p w:rsidR="00D7373C" w:rsidRPr="00D7373C" w:rsidRDefault="009A0BD1" w:rsidP="00D737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s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etting a good example in terms of appropriate dress, punctuality and attendance</w:t>
            </w:r>
          </w:p>
          <w:p w:rsidR="00D7373C" w:rsidRPr="00D7373C" w:rsidRDefault="009A0BD1" w:rsidP="00D737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p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articipating in the School’s extracurricular programme</w:t>
            </w:r>
          </w:p>
          <w:p w:rsidR="00D7373C" w:rsidRPr="00D7373C" w:rsidRDefault="009A0BD1" w:rsidP="00D737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t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ak</w:t>
            </w:r>
            <w:r w:rsid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ing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responsibility for personal professional development within the School’s CPD programme</w:t>
            </w:r>
          </w:p>
          <w:p w:rsidR="00D7373C" w:rsidRPr="00D7373C" w:rsidRDefault="009A0BD1" w:rsidP="00D737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a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ttend</w:t>
            </w:r>
            <w:r w:rsid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ing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all departmental and staff meetings</w:t>
            </w:r>
          </w:p>
          <w:p w:rsidR="00D7373C" w:rsidRPr="00D7373C" w:rsidRDefault="009A0BD1" w:rsidP="00D7373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a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ttend Parents’ </w:t>
            </w:r>
            <w:r w:rsid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e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ven</w:t>
            </w:r>
            <w:r w:rsid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ts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>,</w:t>
            </w:r>
            <w:r w:rsidR="00D7373C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and ensuring that all deadlines are met as published in the School calendar</w:t>
            </w:r>
            <w:r w:rsidR="00D7373C" w:rsidRPr="00D7373C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</w:t>
            </w:r>
          </w:p>
          <w:p w:rsidR="00D7373C" w:rsidRPr="00323A6A" w:rsidRDefault="009A0BD1" w:rsidP="00323A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t</w:t>
            </w:r>
            <w:r w:rsidR="00D7373C" w:rsidRPr="00323A6A">
              <w:rPr>
                <w:rFonts w:ascii="GillSansMT" w:hAnsi="GillSansMT" w:cs="GillSansMT"/>
                <w:color w:val="000000"/>
                <w:sz w:val="20"/>
                <w:szCs w:val="20"/>
              </w:rPr>
              <w:t>ak</w:t>
            </w:r>
            <w:r w:rsidR="00323A6A">
              <w:rPr>
                <w:rFonts w:ascii="GillSansMT" w:hAnsi="GillSansMT" w:cs="GillSansMT"/>
                <w:color w:val="000000"/>
                <w:sz w:val="20"/>
                <w:szCs w:val="20"/>
              </w:rPr>
              <w:t>ing</w:t>
            </w:r>
            <w:proofErr w:type="gramEnd"/>
            <w:r w:rsidR="00D7373C" w:rsidRPr="00323A6A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responsibility for matters relating to health and safety</w:t>
            </w: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.</w:t>
            </w:r>
          </w:p>
          <w:p w:rsidR="00323A6A" w:rsidRDefault="00D7373C" w:rsidP="00323A6A">
            <w:pPr>
              <w:autoSpaceDE w:val="0"/>
              <w:autoSpaceDN w:val="0"/>
              <w:adjustRightInd w:val="0"/>
              <w:ind w:left="36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 w:rsidRPr="00323A6A">
              <w:rPr>
                <w:rFonts w:ascii="GillSansMT" w:hAnsi="GillSansMT" w:cs="GillSansMT"/>
                <w:color w:val="000000"/>
                <w:sz w:val="20"/>
                <w:szCs w:val="20"/>
              </w:rPr>
              <w:t>Undertak</w:t>
            </w:r>
            <w:r w:rsidR="00323A6A">
              <w:rPr>
                <w:rFonts w:ascii="GillSansMT" w:hAnsi="GillSansMT" w:cs="GillSansMT"/>
                <w:color w:val="000000"/>
                <w:sz w:val="20"/>
                <w:szCs w:val="20"/>
              </w:rPr>
              <w:t>ing</w:t>
            </w:r>
            <w:r w:rsidRPr="00323A6A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duties that may be reasonably assigned by the </w:t>
            </w:r>
            <w:proofErr w:type="spellStart"/>
            <w:r w:rsidRPr="00323A6A">
              <w:rPr>
                <w:rFonts w:ascii="GillSansMT" w:hAnsi="GillSansMT" w:cs="GillSansMT"/>
                <w:color w:val="000000"/>
                <w:sz w:val="20"/>
                <w:szCs w:val="20"/>
              </w:rPr>
              <w:t>Head</w:t>
            </w:r>
            <w:r w:rsidR="00323A6A">
              <w:rPr>
                <w:rFonts w:ascii="GillSansMT" w:hAnsi="GillSansMT" w:cs="GillSansMT"/>
                <w:color w:val="000000"/>
                <w:sz w:val="20"/>
                <w:szCs w:val="20"/>
              </w:rPr>
              <w:t>teacher</w:t>
            </w:r>
            <w:proofErr w:type="spellEnd"/>
            <w:r w:rsidR="00323A6A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</w:t>
            </w:r>
            <w:r w:rsidRPr="00323A6A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</w:t>
            </w:r>
            <w:r w:rsidR="00323A6A">
              <w:rPr>
                <w:rFonts w:ascii="GillSansMT" w:hAnsi="GillSansMT" w:cs="GillSansMT"/>
                <w:color w:val="000000"/>
                <w:sz w:val="20"/>
                <w:szCs w:val="20"/>
              </w:rPr>
              <w:t>(directly or indirectly)</w:t>
            </w:r>
          </w:p>
          <w:p w:rsidR="00D7373C" w:rsidRPr="00323A6A" w:rsidRDefault="00D7373C" w:rsidP="00323A6A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D7373C" w:rsidRDefault="00D7373C" w:rsidP="00D7373C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Responsibilities may be direct, joint or through devolved structures, but always in</w:t>
            </w:r>
            <w:r w:rsidR="00323A6A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accordance with whole school policies. These details may be amended at any</w:t>
            </w:r>
            <w:r w:rsidR="00323A6A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time by agreement, but in any case will be reviewed through the appraisal</w:t>
            </w:r>
            <w:r w:rsidR="00323A6A">
              <w:rPr>
                <w:rFonts w:ascii="GillSansMT" w:hAnsi="GillSansMT" w:cs="GillSansM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process.</w:t>
            </w:r>
          </w:p>
          <w:p w:rsidR="00B7092E" w:rsidRDefault="00B7092E" w:rsidP="00B7092E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B7092E" w:rsidRPr="00B7092E" w:rsidRDefault="00B7092E" w:rsidP="00B7092E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C34D0D" w:rsidRPr="00C34D0D" w:rsidRDefault="00C34D0D" w:rsidP="00C34D0D">
            <w:pPr>
              <w:autoSpaceDE w:val="0"/>
              <w:autoSpaceDN w:val="0"/>
              <w:adjustRightInd w:val="0"/>
              <w:ind w:left="360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Default="00B80432" w:rsidP="00B80432">
            <w:pPr>
              <w:autoSpaceDE w:val="0"/>
              <w:autoSpaceDN w:val="0"/>
              <w:adjustRightInd w:val="0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B80432" w:rsidRPr="00B80432" w:rsidRDefault="00B80432" w:rsidP="00B80432">
            <w:pPr>
              <w:autoSpaceDE w:val="0"/>
              <w:autoSpaceDN w:val="0"/>
              <w:adjustRightInd w:val="0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80432" w:rsidRDefault="00B80432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B80432" w:rsidRDefault="00B80432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B80432" w:rsidRDefault="00B80432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B80432" w:rsidRDefault="00B80432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B80432" w:rsidRDefault="00B80432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B80432" w:rsidRDefault="00B80432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632951" w:rsidRDefault="00632951" w:rsidP="00C34D0D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  <w:r>
        <w:rPr>
          <w:rFonts w:ascii="GillSansMT" w:hAnsi="GillSansMT" w:cs="GillSansMT"/>
          <w:color w:val="000000"/>
          <w:sz w:val="20"/>
          <w:szCs w:val="20"/>
        </w:rPr>
        <w:t xml:space="preserve"> </w:t>
      </w:r>
    </w:p>
    <w:p w:rsidR="007A7709" w:rsidRDefault="007A7709" w:rsidP="00632951">
      <w:pPr>
        <w:autoSpaceDE w:val="0"/>
        <w:autoSpaceDN w:val="0"/>
        <w:adjustRightInd w:val="0"/>
        <w:jc w:val="left"/>
        <w:rPr>
          <w:rFonts w:ascii="GillSansMT-Bold" w:hAnsi="GillSansMT-Bold" w:cs="GillSansMT-Bold"/>
          <w:b/>
          <w:bCs/>
          <w:color w:val="000000"/>
          <w:sz w:val="20"/>
          <w:szCs w:val="20"/>
        </w:rPr>
      </w:pPr>
    </w:p>
    <w:tbl>
      <w:tblPr>
        <w:tblW w:w="9599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3319"/>
        <w:gridCol w:w="3030"/>
        <w:gridCol w:w="1700"/>
      </w:tblGrid>
      <w:tr w:rsidR="007A7709" w:rsidTr="00532893">
        <w:trPr>
          <w:trHeight w:val="1210"/>
        </w:trPr>
        <w:tc>
          <w:tcPr>
            <w:tcW w:w="9599" w:type="dxa"/>
            <w:gridSpan w:val="4"/>
          </w:tcPr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Person Specification</w:t>
            </w:r>
          </w:p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The School is committed to safeguarding and promoting the welfare of children and young people and expects all staff and volunteers to share this commitment.</w:t>
            </w:r>
          </w:p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893" w:rsidTr="00532893">
        <w:trPr>
          <w:trHeight w:val="1349"/>
        </w:trPr>
        <w:tc>
          <w:tcPr>
            <w:tcW w:w="1539" w:type="dxa"/>
          </w:tcPr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4" w:type="dxa"/>
          </w:tcPr>
          <w:p w:rsidR="007A7709" w:rsidRP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Pr="007A7709" w:rsidRDefault="007A7709" w:rsidP="007A7709">
            <w:pPr>
              <w:jc w:val="center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 w:rsidRPr="007A7709"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Essential</w:t>
            </w:r>
          </w:p>
          <w:p w:rsidR="007A7709" w:rsidRPr="007A7709" w:rsidRDefault="007A7709" w:rsidP="007A7709">
            <w:pPr>
              <w:jc w:val="center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Pr="007A7709" w:rsidRDefault="007A7709" w:rsidP="007A7709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 w:rsidRPr="007A7709">
              <w:rPr>
                <w:rFonts w:ascii="GillSansMT" w:hAnsi="GillSansMT" w:cs="GillSansMT"/>
                <w:color w:val="000000"/>
                <w:sz w:val="20"/>
                <w:szCs w:val="20"/>
              </w:rPr>
              <w:t>These are qualities without which the Applicant could not be appointed</w:t>
            </w:r>
          </w:p>
          <w:p w:rsidR="007A7709" w:rsidRPr="007A7709" w:rsidRDefault="007A7709" w:rsidP="007A7709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7A7709" w:rsidRPr="007A7709" w:rsidRDefault="007A7709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7A7709" w:rsidRP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Pr="007A7709" w:rsidRDefault="007A7709" w:rsidP="007A7709">
            <w:pPr>
              <w:jc w:val="center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 w:rsidRPr="007A7709"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Desirable</w:t>
            </w:r>
          </w:p>
          <w:p w:rsidR="00532893" w:rsidRDefault="00532893" w:rsidP="007A7709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</w:p>
          <w:p w:rsidR="007A7709" w:rsidRPr="007A7709" w:rsidRDefault="007A7709" w:rsidP="007A7709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 w:rsidRPr="007A7709">
              <w:rPr>
                <w:rFonts w:ascii="GillSansMT" w:hAnsi="GillSansMT" w:cs="GillSansMT"/>
                <w:color w:val="000000"/>
                <w:sz w:val="20"/>
                <w:szCs w:val="20"/>
              </w:rPr>
              <w:t>These are extra qualities which can be used to choose between applicants who meet all of the essential criteria</w:t>
            </w:r>
          </w:p>
          <w:p w:rsidR="007A7709" w:rsidRPr="007A7709" w:rsidRDefault="007A7709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7709" w:rsidRP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Pr="007A7709" w:rsidRDefault="007A7709" w:rsidP="007A7709">
            <w:pPr>
              <w:jc w:val="center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 w:rsidRPr="007A7709"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Method of assessment</w:t>
            </w:r>
          </w:p>
          <w:p w:rsidR="007A7709" w:rsidRPr="007A7709" w:rsidRDefault="007A7709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893" w:rsidTr="00532893">
        <w:trPr>
          <w:trHeight w:val="1900"/>
        </w:trPr>
        <w:tc>
          <w:tcPr>
            <w:tcW w:w="1539" w:type="dxa"/>
          </w:tcPr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532893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532893" w:rsidP="00532893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Qualifications</w:t>
            </w:r>
          </w:p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4" w:type="dxa"/>
          </w:tcPr>
          <w:p w:rsid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532893" w:rsidP="00532893">
            <w:pPr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Honours degree in Mathematics or an appropriate Maths related subject from a recognised university either in the UK or overseas. Full teacher qualification e.g. PGCE/QTS</w:t>
            </w:r>
          </w:p>
        </w:tc>
        <w:tc>
          <w:tcPr>
            <w:tcW w:w="3035" w:type="dxa"/>
          </w:tcPr>
          <w:p w:rsid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Pr="00532893" w:rsidRDefault="00532893">
            <w:pPr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  <w:r w:rsidRPr="00532893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Higher Degree</w:t>
            </w:r>
          </w:p>
          <w:p w:rsid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Pr="00532893" w:rsidRDefault="00532893">
            <w:pPr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  <w:r w:rsidRPr="00532893"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t>Certificates</w:t>
            </w:r>
          </w:p>
          <w:p w:rsid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7A7709" w:rsidRDefault="007A7709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893" w:rsidTr="00532893">
        <w:trPr>
          <w:trHeight w:val="1592"/>
        </w:trPr>
        <w:tc>
          <w:tcPr>
            <w:tcW w:w="1539" w:type="dxa"/>
          </w:tcPr>
          <w:p w:rsidR="00532893" w:rsidRDefault="00532893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532893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532893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532893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Experience:</w:t>
            </w:r>
          </w:p>
          <w:p w:rsidR="00532893" w:rsidRDefault="00532893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4" w:type="dxa"/>
          </w:tcPr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Pr="00532893" w:rsidRDefault="00532893" w:rsidP="00532893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  <w:r w:rsidRPr="00532893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The ability to teach</w:t>
            </w:r>
            <w:r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 xml:space="preserve"> </w:t>
            </w:r>
            <w:r w:rsidRPr="00532893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KS3 and GCSE Mathematics</w:t>
            </w: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5" w:type="dxa"/>
          </w:tcPr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Pr="00532893" w:rsidRDefault="00532893" w:rsidP="00532893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  <w:r w:rsidRPr="00532893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 xml:space="preserve">Experience of teaching at secondary </w:t>
            </w:r>
            <w:r w:rsidR="00DF705C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 xml:space="preserve">level </w:t>
            </w:r>
            <w:r w:rsidRPr="00532893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across KS3 and KS4</w:t>
            </w: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Pr="00532893" w:rsidRDefault="00532893" w:rsidP="00532893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  <w:r w:rsidRPr="00532893"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t>Application form and references</w:t>
            </w: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893" w:rsidTr="00AE0E2A">
        <w:trPr>
          <w:trHeight w:val="4148"/>
        </w:trPr>
        <w:tc>
          <w:tcPr>
            <w:tcW w:w="1539" w:type="dxa"/>
          </w:tcPr>
          <w:p w:rsidR="00532893" w:rsidRDefault="00532893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Skills:</w:t>
            </w:r>
          </w:p>
          <w:p w:rsidR="00532893" w:rsidRDefault="00532893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DF705C" w:rsidRDefault="00DF705C" w:rsidP="00EB0A9F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lastRenderedPageBreak/>
              <w:t>Knowledge</w:t>
            </w:r>
          </w:p>
          <w:p w:rsidR="00532893" w:rsidRDefault="00532893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4" w:type="dxa"/>
          </w:tcPr>
          <w:p w:rsidR="00532893" w:rsidRPr="001A54B4" w:rsidRDefault="00532893">
            <w:pPr>
              <w:rPr>
                <w:rFonts w:ascii="GillSansMT-Bold" w:hAnsi="GillSansMT-Bold" w:cs="GillSansMT-Bold"/>
                <w:b/>
                <w:bCs/>
                <w:color w:val="FF0000"/>
                <w:sz w:val="20"/>
                <w:szCs w:val="20"/>
              </w:rPr>
            </w:pP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To be an outstanding teacher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To be firm but fair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To be able to inspire and motivate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Students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To be an excellent communicator,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orally and in writing, with students,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parents and staff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To have good time management skills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To have the ability to show initiative within the framework of a strong and supportive team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A willingness to utilise and develop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departmental teaching resources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To have excellent interpersonal skills</w:t>
            </w: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</w:p>
          <w:p w:rsidR="00EB0A9F" w:rsidRPr="001A54B4" w:rsidRDefault="00EB0A9F" w:rsidP="00EB0A9F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sz w:val="20"/>
                <w:szCs w:val="20"/>
              </w:rPr>
            </w:pPr>
            <w:r w:rsidRPr="001A54B4">
              <w:rPr>
                <w:rFonts w:ascii="GillSansMT" w:hAnsi="GillSansMT" w:cs="GillSansMT"/>
                <w:sz w:val="20"/>
                <w:szCs w:val="20"/>
              </w:rPr>
              <w:t>To be able to use ICT appropriately to support learning</w:t>
            </w:r>
          </w:p>
          <w:p w:rsidR="00532893" w:rsidRPr="001A54B4" w:rsidRDefault="00532893">
            <w:pPr>
              <w:rPr>
                <w:rFonts w:ascii="GillSansMT-Bold" w:hAnsi="GillSansMT-Bold" w:cs="GillSansMT-Bold"/>
                <w:b/>
                <w:bCs/>
                <w:sz w:val="20"/>
                <w:szCs w:val="20"/>
              </w:rPr>
            </w:pPr>
          </w:p>
          <w:p w:rsidR="00532893" w:rsidRPr="001A54B4" w:rsidRDefault="00532893">
            <w:pPr>
              <w:rPr>
                <w:rFonts w:ascii="GillSansMT-Bold" w:hAnsi="GillSansMT-Bold" w:cs="GillSansMT-Bold"/>
                <w:b/>
                <w:bCs/>
                <w:color w:val="FF0000"/>
                <w:sz w:val="20"/>
                <w:szCs w:val="20"/>
              </w:rPr>
            </w:pPr>
          </w:p>
          <w:p w:rsidR="00532893" w:rsidRPr="001A54B4" w:rsidRDefault="00EB0A9F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  <w:r w:rsidRPr="001A54B4">
              <w:rPr>
                <w:rFonts w:ascii="GillSansMT-Bold" w:hAnsi="GillSansMT-Bold" w:cs="GillSansMT-Bold"/>
                <w:bCs/>
                <w:sz w:val="20"/>
                <w:szCs w:val="20"/>
              </w:rPr>
              <w:t xml:space="preserve">Has a </w:t>
            </w:r>
            <w:r w:rsidR="001A54B4" w:rsidRPr="001A54B4">
              <w:rPr>
                <w:rFonts w:ascii="GillSansMT-Bold" w:hAnsi="GillSansMT-Bold" w:cs="GillSansMT-Bold"/>
                <w:bCs/>
                <w:sz w:val="20"/>
                <w:szCs w:val="20"/>
              </w:rPr>
              <w:t>well-informed</w:t>
            </w:r>
            <w:r w:rsidRPr="001A54B4">
              <w:rPr>
                <w:rFonts w:ascii="GillSansMT-Bold" w:hAnsi="GillSansMT-Bold" w:cs="GillSansMT-Bold"/>
                <w:bCs/>
                <w:sz w:val="20"/>
                <w:szCs w:val="20"/>
              </w:rPr>
              <w:t xml:space="preserve"> understand of </w:t>
            </w:r>
            <w:r w:rsidRPr="001A54B4">
              <w:rPr>
                <w:rFonts w:ascii="GillSansMT-Bold" w:hAnsi="GillSansMT-Bold" w:cs="GillSansMT-Bold"/>
                <w:bCs/>
                <w:sz w:val="20"/>
                <w:szCs w:val="20"/>
              </w:rPr>
              <w:lastRenderedPageBreak/>
              <w:t>the requirements of GCSE Mathematics specifications and their suitability</w:t>
            </w:r>
            <w:r w:rsidR="001A54B4" w:rsidRPr="001A54B4">
              <w:rPr>
                <w:rFonts w:ascii="GillSansMT-Bold" w:hAnsi="GillSansMT-Bold" w:cs="GillSansMT-Bold"/>
                <w:bCs/>
                <w:sz w:val="20"/>
                <w:szCs w:val="20"/>
              </w:rPr>
              <w:t xml:space="preserve"> for meeting learners’ needs</w:t>
            </w:r>
          </w:p>
          <w:p w:rsidR="001A54B4" w:rsidRPr="001A54B4" w:rsidRDefault="001A54B4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1A54B4" w:rsidRDefault="001A54B4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  <w:r w:rsidRPr="001A54B4">
              <w:rPr>
                <w:rFonts w:ascii="GillSansMT-Bold" w:hAnsi="GillSansMT-Bold" w:cs="GillSansMT-Bold"/>
                <w:bCs/>
                <w:sz w:val="20"/>
                <w:szCs w:val="20"/>
              </w:rPr>
              <w:t>Is able to utilise teaching strategies to allow learners to make outstanding progress compared to their previous attainment</w:t>
            </w:r>
          </w:p>
          <w:p w:rsidR="001A54B4" w:rsidRDefault="001A54B4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1A54B4" w:rsidRDefault="001A54B4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1A54B4" w:rsidRDefault="001A54B4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1A54B4" w:rsidRDefault="001A54B4" w:rsidP="001A54B4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An ability to use an interactive</w:t>
            </w:r>
          </w:p>
          <w:p w:rsidR="001A54B4" w:rsidRDefault="001A54B4" w:rsidP="001A54B4">
            <w:pPr>
              <w:autoSpaceDE w:val="0"/>
              <w:autoSpaceDN w:val="0"/>
              <w:adjustRightInd w:val="0"/>
              <w:jc w:val="left"/>
              <w:rPr>
                <w:rFonts w:ascii="GillSansMT" w:hAnsi="GillSansMT" w:cs="GillSansMT"/>
                <w:color w:val="000000"/>
                <w:sz w:val="20"/>
                <w:szCs w:val="20"/>
              </w:rPr>
            </w:pPr>
            <w:r>
              <w:rPr>
                <w:rFonts w:ascii="GillSansMT" w:hAnsi="GillSansMT" w:cs="GillSansMT"/>
                <w:color w:val="000000"/>
                <w:sz w:val="20"/>
                <w:szCs w:val="20"/>
              </w:rPr>
              <w:t>whiteboard</w:t>
            </w:r>
          </w:p>
          <w:p w:rsidR="00532893" w:rsidRPr="001A54B4" w:rsidRDefault="00532893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Pr="00EB0A9F" w:rsidRDefault="00EB0A9F">
            <w:pPr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  <w:r w:rsidRPr="00EB0A9F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Qualified to drive students</w:t>
            </w: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1A54B4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  <w:r w:rsidRPr="001A54B4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 xml:space="preserve">Is able to utilise teaching </w:t>
            </w:r>
            <w:r w:rsidRPr="001A54B4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lastRenderedPageBreak/>
              <w:t>strategies to allow learners to make outstanding</w:t>
            </w:r>
            <w:r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 xml:space="preserve"> </w:t>
            </w:r>
            <w:r w:rsidRPr="001A54B4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progress compared to similar learners nationally</w:t>
            </w:r>
          </w:p>
          <w:p w:rsidR="00AE0E2A" w:rsidRDefault="00AE0E2A" w:rsidP="001A54B4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Default="00AE0E2A" w:rsidP="001A54B4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Default="00AE0E2A" w:rsidP="001A54B4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Default="00AE0E2A" w:rsidP="001A54B4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Default="00AE0E2A" w:rsidP="001A54B4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Default="00AE0E2A" w:rsidP="001A54B4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Pr="001A54B4" w:rsidRDefault="00AE0E2A" w:rsidP="001A54B4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EB0A9F" w:rsidRDefault="00EB0A9F" w:rsidP="00EB0A9F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EB0A9F" w:rsidRDefault="00EB0A9F" w:rsidP="00EB0A9F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EB0A9F" w:rsidRDefault="00EB0A9F" w:rsidP="00EB0A9F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EB0A9F" w:rsidRDefault="00EB0A9F" w:rsidP="00EB0A9F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EB0A9F" w:rsidRDefault="00EB0A9F" w:rsidP="00EB0A9F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EB0A9F" w:rsidRDefault="00EB0A9F" w:rsidP="00EB0A9F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532893" w:rsidRPr="00EB0A9F" w:rsidRDefault="00EB0A9F" w:rsidP="00EB0A9F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  <w:r w:rsidRPr="00EB0A9F"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t>Application form and re</w:t>
            </w:r>
            <w:r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t>f</w:t>
            </w:r>
            <w:r w:rsidRPr="00EB0A9F"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t>erences and interview</w:t>
            </w:r>
          </w:p>
          <w:p w:rsidR="00532893" w:rsidRPr="00EB0A9F" w:rsidRDefault="00532893" w:rsidP="00EB0A9F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532893" w:rsidRDefault="00532893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1A54B4" w:rsidRPr="001A54B4" w:rsidRDefault="001A54B4" w:rsidP="001A54B4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  <w:r w:rsidRPr="001A54B4"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lastRenderedPageBreak/>
              <w:t>Observed lesson, interview and references</w:t>
            </w:r>
          </w:p>
        </w:tc>
      </w:tr>
      <w:tr w:rsidR="001A54B4" w:rsidTr="00857550">
        <w:trPr>
          <w:trHeight w:val="7332"/>
        </w:trPr>
        <w:tc>
          <w:tcPr>
            <w:tcW w:w="1539" w:type="dxa"/>
          </w:tcPr>
          <w:p w:rsidR="001A54B4" w:rsidRDefault="001A54B4" w:rsidP="007A7709">
            <w:pPr>
              <w:autoSpaceDE w:val="0"/>
              <w:autoSpaceDN w:val="0"/>
              <w:adjustRightInd w:val="0"/>
              <w:ind w:left="243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Personal</w:t>
            </w: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competencies</w:t>
            </w:r>
          </w:p>
          <w:p w:rsidR="00AE0E2A" w:rsidRDefault="00AE0E2A" w:rsidP="00AE0E2A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  <w:t>and qualities</w:t>
            </w:r>
          </w:p>
          <w:p w:rsidR="001A54B4" w:rsidRPr="001A54B4" w:rsidRDefault="001A54B4" w:rsidP="001A54B4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4" w:type="dxa"/>
          </w:tcPr>
          <w:p w:rsidR="001A54B4" w:rsidRPr="001A54B4" w:rsidRDefault="001A54B4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1A54B4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  <w:r w:rsidRPr="00AE0E2A">
              <w:rPr>
                <w:rFonts w:ascii="GillSansMT-Bold" w:hAnsi="GillSansMT-Bold" w:cs="GillSansMT-Bold"/>
                <w:bCs/>
                <w:sz w:val="20"/>
                <w:szCs w:val="20"/>
              </w:rPr>
              <w:t xml:space="preserve">An intellectual interest </w:t>
            </w:r>
            <w:r>
              <w:rPr>
                <w:rFonts w:ascii="GillSansMT-Bold" w:hAnsi="GillSansMT-Bold" w:cs="GillSansMT-Bold"/>
                <w:bCs/>
                <w:sz w:val="20"/>
                <w:szCs w:val="20"/>
              </w:rPr>
              <w:t>in Mathematics and a passion for the subject and all it offers</w:t>
            </w: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sz w:val="20"/>
                <w:szCs w:val="20"/>
              </w:rPr>
              <w:t>A creative learner and teacher</w:t>
            </w: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sz w:val="20"/>
                <w:szCs w:val="20"/>
              </w:rPr>
              <w:t>An approachable, professional colleague and classroom practitioner</w:t>
            </w: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sz w:val="20"/>
                <w:szCs w:val="20"/>
              </w:rPr>
              <w:t>Pragmatism and</w:t>
            </w:r>
            <w:r w:rsidR="00DF705C">
              <w:rPr>
                <w:rFonts w:ascii="GillSansMT-Bold" w:hAnsi="GillSansMT-Bold" w:cs="GillSansMT-Bold"/>
                <w:bCs/>
                <w:sz w:val="20"/>
                <w:szCs w:val="20"/>
              </w:rPr>
              <w:t xml:space="preserve"> a</w:t>
            </w:r>
            <w:r>
              <w:rPr>
                <w:rFonts w:ascii="GillSansMT-Bold" w:hAnsi="GillSansMT-Bold" w:cs="GillSansMT-Bold"/>
                <w:bCs/>
                <w:sz w:val="20"/>
                <w:szCs w:val="20"/>
              </w:rPr>
              <w:t xml:space="preserve"> ‘can do’ approach</w:t>
            </w: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sz w:val="20"/>
                <w:szCs w:val="20"/>
              </w:rPr>
              <w:t>Ability to priorities and remain calm under pressure</w:t>
            </w:r>
          </w:p>
          <w:p w:rsid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857550" w:rsidRDefault="00857550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857550" w:rsidRDefault="00857550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857550" w:rsidRDefault="00857550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</w:p>
          <w:p w:rsidR="00AE0E2A" w:rsidRPr="00AE0E2A" w:rsidRDefault="00AE0E2A" w:rsidP="001A54B4">
            <w:pPr>
              <w:jc w:val="left"/>
              <w:rPr>
                <w:rFonts w:ascii="GillSansMT-Bold" w:hAnsi="GillSansMT-Bold" w:cs="GillSansMT-Bold"/>
                <w:bCs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sz w:val="20"/>
                <w:szCs w:val="20"/>
              </w:rPr>
              <w:t>To be flexible, resilient and well organised</w:t>
            </w:r>
          </w:p>
          <w:p w:rsidR="001A54B4" w:rsidRPr="001A54B4" w:rsidRDefault="001A54B4" w:rsidP="001A54B4">
            <w:pPr>
              <w:jc w:val="left"/>
              <w:rPr>
                <w:rFonts w:ascii="GillSansMT-Bold" w:hAnsi="GillSansMT-Bold" w:cs="GillSansMT-Bold"/>
                <w:bCs/>
                <w:color w:val="FF0000"/>
                <w:sz w:val="20"/>
                <w:szCs w:val="20"/>
              </w:rPr>
            </w:pPr>
          </w:p>
          <w:p w:rsidR="001A54B4" w:rsidRPr="001A54B4" w:rsidRDefault="001A54B4" w:rsidP="007A7709">
            <w:pPr>
              <w:autoSpaceDE w:val="0"/>
              <w:autoSpaceDN w:val="0"/>
              <w:adjustRightInd w:val="0"/>
              <w:jc w:val="left"/>
              <w:rPr>
                <w:rFonts w:ascii="GillSansMT-Bold" w:hAnsi="GillSansMT-Bold" w:cs="GillSansMT-Bold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:rsidR="001A54B4" w:rsidRDefault="001A54B4" w:rsidP="001A54B4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  <w:r w:rsidRPr="00AE0E2A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To be able to contribute material to the website</w:t>
            </w:r>
          </w:p>
          <w:p w:rsidR="00AE0E2A" w:rsidRDefault="00AE0E2A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Able to advise pupils, parents and staff insightfully.  To have a flexible approach to teaching and a willingness to learn.</w:t>
            </w:r>
          </w:p>
          <w:p w:rsidR="00AE0E2A" w:rsidRDefault="00AE0E2A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Interest in continuing professional development of self and other staff</w:t>
            </w:r>
          </w:p>
          <w:p w:rsidR="00AE0E2A" w:rsidRDefault="00AE0E2A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Able to work independently using a wide range of resources</w:t>
            </w:r>
          </w:p>
          <w:p w:rsidR="00AE0E2A" w:rsidRDefault="00AE0E2A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AE0E2A" w:rsidRDefault="00AE0E2A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 xml:space="preserve">Enjoys every aspect of teaching pupils.  A </w:t>
            </w:r>
            <w:r w:rsidR="00857550"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perceptive understanding of teenagers and their ‘needs’ and ‘expectations’.</w:t>
            </w:r>
          </w:p>
          <w:p w:rsidR="00857550" w:rsidRDefault="00857550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</w:p>
          <w:p w:rsidR="00857550" w:rsidRPr="00AE0E2A" w:rsidRDefault="00857550" w:rsidP="00AE0E2A">
            <w:pPr>
              <w:jc w:val="left"/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color w:val="000000"/>
                <w:sz w:val="20"/>
                <w:szCs w:val="20"/>
              </w:rPr>
              <w:t>A good sense of humour</w:t>
            </w:r>
          </w:p>
        </w:tc>
        <w:tc>
          <w:tcPr>
            <w:tcW w:w="1701" w:type="dxa"/>
          </w:tcPr>
          <w:p w:rsidR="001A54B4" w:rsidRDefault="001A54B4" w:rsidP="001A54B4">
            <w:pPr>
              <w:rPr>
                <w:rFonts w:ascii="GillSansMT-Bold" w:hAnsi="GillSansMT-Bold" w:cs="GillSansMT-Bold"/>
                <w:b/>
                <w:bCs/>
                <w:color w:val="000000"/>
                <w:sz w:val="20"/>
                <w:szCs w:val="20"/>
              </w:rPr>
            </w:pP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  <w:r w:rsidRPr="00857550"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t>Interview, observed lesson and references</w:t>
            </w: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  <w:r w:rsidRPr="00857550"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t>Interview, observed lesson and references</w:t>
            </w: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  <w:r w:rsidRPr="00857550"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t>Interview, observed lesson and references</w:t>
            </w: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t>Interview and references</w:t>
            </w: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  <w:r w:rsidRPr="00857550"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t>Interview, observed lesson and references</w:t>
            </w: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</w:p>
          <w:p w:rsidR="00857550" w:rsidRPr="00857550" w:rsidRDefault="00857550" w:rsidP="00857550">
            <w:pPr>
              <w:jc w:val="left"/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illSansMT-Bold" w:hAnsi="GillSansMT-Bold" w:cs="GillSansMT-Bold"/>
                <w:bCs/>
                <w:i/>
                <w:color w:val="000000"/>
                <w:sz w:val="20"/>
                <w:szCs w:val="20"/>
              </w:rPr>
              <w:t>Interview and references</w:t>
            </w:r>
          </w:p>
        </w:tc>
      </w:tr>
    </w:tbl>
    <w:p w:rsidR="001A54B4" w:rsidRDefault="001A54B4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1A54B4" w:rsidRDefault="001A54B4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1A54B4" w:rsidRDefault="001A54B4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1A54B4" w:rsidRDefault="001A54B4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1A54B4" w:rsidRDefault="001A54B4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1A54B4" w:rsidRDefault="001A54B4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1A54B4" w:rsidRDefault="001A54B4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1A54B4" w:rsidRDefault="001A54B4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B5579E" w:rsidRDefault="00B5579E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</w:p>
    <w:p w:rsidR="00B5579E" w:rsidRDefault="00B5579E" w:rsidP="00632951">
      <w:pPr>
        <w:autoSpaceDE w:val="0"/>
        <w:autoSpaceDN w:val="0"/>
        <w:adjustRightInd w:val="0"/>
        <w:jc w:val="left"/>
        <w:rPr>
          <w:rFonts w:ascii="GillSansMT" w:hAnsi="GillSansMT" w:cs="GillSansMT"/>
          <w:color w:val="000000"/>
          <w:sz w:val="20"/>
          <w:szCs w:val="20"/>
        </w:rPr>
      </w:pPr>
      <w:r>
        <w:rPr>
          <w:rFonts w:ascii="GillSansMT" w:hAnsi="GillSansMT" w:cs="GillSansMT"/>
          <w:color w:val="000000"/>
          <w:sz w:val="20"/>
          <w:szCs w:val="20"/>
        </w:rPr>
        <w:t>Admin/admin docs/job vacancies/maths/job description &amp; Personal Spec – Mathematics Feb 15</w:t>
      </w:r>
    </w:p>
    <w:sectPr w:rsidR="00B55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1A9"/>
    <w:multiLevelType w:val="hybridMultilevel"/>
    <w:tmpl w:val="17487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F0FA5"/>
    <w:multiLevelType w:val="hybridMultilevel"/>
    <w:tmpl w:val="8FD8B974"/>
    <w:lvl w:ilvl="0" w:tplc="375E7D9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46AD6"/>
    <w:multiLevelType w:val="hybridMultilevel"/>
    <w:tmpl w:val="B096F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35066F"/>
    <w:multiLevelType w:val="hybridMultilevel"/>
    <w:tmpl w:val="2316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C1484"/>
    <w:multiLevelType w:val="hybridMultilevel"/>
    <w:tmpl w:val="27F0762E"/>
    <w:lvl w:ilvl="0" w:tplc="08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AE3B2A"/>
    <w:multiLevelType w:val="hybridMultilevel"/>
    <w:tmpl w:val="624424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AE4C86"/>
    <w:multiLevelType w:val="hybridMultilevel"/>
    <w:tmpl w:val="28FA6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D77390"/>
    <w:multiLevelType w:val="hybridMultilevel"/>
    <w:tmpl w:val="5DE69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54DAC"/>
    <w:multiLevelType w:val="hybridMultilevel"/>
    <w:tmpl w:val="18AA7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51"/>
    <w:rsid w:val="00090777"/>
    <w:rsid w:val="000C3B29"/>
    <w:rsid w:val="001A54B4"/>
    <w:rsid w:val="00323A6A"/>
    <w:rsid w:val="0045516F"/>
    <w:rsid w:val="00532893"/>
    <w:rsid w:val="00632951"/>
    <w:rsid w:val="006A1487"/>
    <w:rsid w:val="007A7709"/>
    <w:rsid w:val="00857550"/>
    <w:rsid w:val="009A0BD1"/>
    <w:rsid w:val="009A42A0"/>
    <w:rsid w:val="00A51308"/>
    <w:rsid w:val="00AE0E2A"/>
    <w:rsid w:val="00B5579E"/>
    <w:rsid w:val="00B7092E"/>
    <w:rsid w:val="00B80432"/>
    <w:rsid w:val="00BF6CE2"/>
    <w:rsid w:val="00C34D0D"/>
    <w:rsid w:val="00D7373C"/>
    <w:rsid w:val="00DF705C"/>
    <w:rsid w:val="00EB0A9F"/>
    <w:rsid w:val="00F3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p.coulthard</dc:creator>
  <cp:lastModifiedBy>a.pinkney</cp:lastModifiedBy>
  <cp:revision>2</cp:revision>
  <cp:lastPrinted>2015-02-11T13:26:00Z</cp:lastPrinted>
  <dcterms:created xsi:type="dcterms:W3CDTF">2015-09-16T13:37:00Z</dcterms:created>
  <dcterms:modified xsi:type="dcterms:W3CDTF">2015-09-16T13:37:00Z</dcterms:modified>
</cp:coreProperties>
</file>